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2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REFERENCE — AUDIT DEFENSE</w:t>
      </w:r>
    </w:p>
    <w:p>
      <w:pPr>
        <w:spacing w:after="60"/>
      </w:pPr>
      <w:r>
        <w:rPr>
          <w:rFonts w:ascii="Cambria" w:cs="Cambria" w:eastAsia="Cambria" w:hAnsi="Cambria"/>
          <w:b/>
          <w:bCs/>
          <w:color w:val="0B1628"/>
          <w:sz w:val="44"/>
          <w:szCs w:val="44"/>
        </w:rPr>
        <w:t xml:space="preserve">Augusta Rule Audit-Defense Checklist</w:t>
      </w:r>
    </w:p>
    <w:p>
      <w:pPr>
        <w:pBdr>
          <w:bottom w:val="single" w:color="C4AA72" w:sz="14" w:space="2"/>
        </w:pBdr>
        <w:spacing w:after="200" w:before="0"/>
        <w:ind w:right="8060"/>
      </w:pPr>
      <w:r>
        <w:t xml:space="preserve"/>
      </w:r>
    </w:p>
    <w:p>
      <w:pPr>
        <w:spacing w:after="240"/>
      </w:pPr>
      <w:r>
        <w:rPr>
          <w:rFonts w:ascii="Cambria" w:cs="Cambria" w:eastAsia="Cambria" w:hAnsi="Cambria"/>
          <w:i/>
          <w:iCs/>
          <w:color w:val="212020"/>
          <w:sz w:val="24"/>
          <w:szCs w:val="24"/>
        </w:rPr>
        <w:t xml:space="preserve">Use this checklist proactively at year-end to confirm the file is examination-ready, and reactively if you receive an examination notice.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C4AA72" w:sz="24" w:space="0"/>
              <w:bottom w:val="none" w:color="FFFFFF" w:sz="0"/>
              <w:right w:val="none" w:color="FFFFFF" w:sz="0"/>
            </w:tcBorders>
            <w:shd w:fill="FBF7EE" w:color="auto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C4AA72"/>
                <w:spacing w:val="20"/>
                <w:sz w:val="18"/>
                <w:szCs w:val="18"/>
              </w:rPr>
              <w:t xml:space="preserve">WHY IT MATTERS</w:t>
            </w:r>
          </w:p>
          <w:p>
            <w:pPr>
              <w:spacing w:after="0" w:line="280"/>
            </w:pPr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Examiners working a Sinopoli-style case follow a predictable script: verify the entity is eligible, count the days, test the FMV, look for contemporaneous documentation, and check the bank trail. A file that addresses each item in this checklist before the examiner asks is several orders of magnitude easier to defend than a file assembled in response to questions.</w:t>
            </w:r>
          </w:p>
        </w:tc>
      </w:tr>
    </w:tbl>
    <w:p>
      <w:pPr>
        <w:spacing w:after="200"/>
      </w:pPr>
      <w:r>
        <w:t xml:space="preserve"/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Documentation Checklist — Required Items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Confirm each of the following is in the file for every rental event in the year under examination.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Written board resolution authorizing the rental program, dated before the first rental event of the year.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Short-Term Rental Agreement for each event, executed before the event date, with parties, premises, term, rate, and business purpose specified.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FMV Worksheet for each event, with three independent comparables saved as PDFs, dated before the event date.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Meeting agenda for each event, distributed in advance, listing specific business decisions to be made.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Meeting minutes for each event, contemporaneously prepared, signed by the secretary, identifying attendees and decisions.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Invoice from homeowner to corporation for each event, dated within a few days of the event.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Bank statement page showing the payment cleared the corporate operating account, annotated with the invoice number.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Form W-9 from the homeowner, kept on file.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Form 1099-MISC issued (regardless of threshold) reporting payments in Box 1 (Rents).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Day-count tracker showing aggregate days across all entities does not exceed 14 in any calendar year.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If Audited — Six-Step Action Plan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Number each action as it is completed. Steps are listed in the order they should occur.</w:t>
      </w:r>
    </w:p>
    <w:p>
      <w:pPr>
        <w:spacing w:after="100" w:before="140" w:line="280"/>
        <w:ind w:left="540" w:hanging="5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☐  1.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Acknowledge the examination notice in writing within the deadline. Do not respond to substance until counsel is engaged.</w:t>
      </w:r>
    </w:p>
    <w:p>
      <w:pPr>
        <w:spacing w:after="100" w:before="140" w:line="280"/>
        <w:ind w:left="540" w:hanging="5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☐  2.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Engage a credentialed representative — a CPA, EA, or attorney with IRS representation authority. Execute Form 2848 (Power of Attorney).</w:t>
      </w:r>
    </w:p>
    <w:p>
      <w:pPr>
        <w:spacing w:after="100" w:before="140" w:line="280"/>
        <w:ind w:left="540" w:hanging="5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☐  3.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Pull the audit-defense file: assemble the documents listed above, in order, with a written index. The index should reference each event by date, agreement number, and invoice number.</w:t>
      </w:r>
    </w:p>
    <w:p>
      <w:pPr>
        <w:spacing w:after="100" w:before="140" w:line="280"/>
        <w:ind w:left="540" w:hanging="5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☐  4.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Reconcile total reported income on the homeowner's return to total payments cleared in the corporation's bank account. Identify and document any discrepancy.</w:t>
      </w:r>
    </w:p>
    <w:p>
      <w:pPr>
        <w:spacing w:after="100" w:before="140" w:line="280"/>
        <w:ind w:left="540" w:hanging="5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☐  5.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Prepare a one-page narrative summary of the rental program for the year(s) under examination, citing IRC §280A(g), the 14-day limit, and the FMV basis.</w:t>
      </w:r>
    </w:p>
    <w:p>
      <w:pPr>
        <w:spacing w:after="100" w:before="140" w:line="280"/>
        <w:ind w:left="540" w:hanging="5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☐  6.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Respond only to specific document requests, in writing, through counsel. Do not volunteer documents not requested. Do not consent to interviews of the homeowner-shareholder without counsel present.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Top 10 Red Flags — Self-Audit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Check any item that applies to your rental program this year. Each checked item is a substantive risk to address before filing.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Daily rate exceeds the highest comparable in the FMV Worksheet.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Same form-document language appears in multiple agreements with no factual variation (rate, purpose, attendees).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Rental events are evenly spaced through the year ("once a month") with no apparent business reason for the cadence.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Meetings ostensibly attended by the same one or two people who own the corporation and live in the residence.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Meeting minutes are absent, generic, or appear to have been drafted well after the meeting date.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Payment was made by personal Venmo, PayPal personal, cash, or intercompany journal entry rather than corporate check, wire, or ACH.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Payment date is more than 30 days after the event.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Form 1099-MISC was not issued, or was issued in the wrong box.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The homeowner's individual return omits the rental income altogether with no Schedule E entry and no offsetting attachment.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Aggregate rental days across related entities exceed 14 on the same property in the same year.</w:t>
      </w:r>
    </w:p>
    <w:p>
      <w:pPr>
        <w:spacing w:after="24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Self-audit completed by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and title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Date completed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MM/DD/YYYY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Reviewed by tax advisor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of CPA, EA, or attorney, and date</w:t>
      </w:r>
    </w:p>
    <w:p>
      <w:pPr>
        <w:spacing w:after="0" w:before="480"/>
        <w:jc w:val="center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Part of the Beaconshire Augusta Rule (IRC §280A(g)) S-Corp Compliance Package. Retain the completed original in the audit file.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DCC0" w:sz="4" w:space="6"/>
      </w:pBdr>
      <w:tabs>
        <w:tab w:val="right" w:pos="9360"/>
      </w:tabs>
      <w:spacing w:before="80"/>
    </w:pPr>
    <w:r>
      <w:rPr>
        <w:rFonts w:ascii="Calibri" w:cs="Calibri" w:eastAsia="Calibri" w:hAnsi="Calibri"/>
        <w:color w:val="B5B3B5"/>
        <w:sz w:val="16"/>
        <w:szCs w:val="16"/>
      </w:rPr>
      <w:t xml:space="preserve">Augusta Rule Audit-Defense Checklist</w:t>
    </w:r>
    <w:r>
      <w:t xml:space="preserve">	</w:t>
    </w:r>
    <w:r>
      <w:rPr>
        <w:rFonts w:ascii="Calibri" w:cs="Calibri" w:eastAsia="Calibri" w:hAnsi="Calibri"/>
        <w:color w:val="B5B3B5"/>
        <w:sz w:val="16"/>
        <w:szCs w:val="16"/>
      </w:rPr>
      <w:t xml:space="preserve">Page </w:t>
    </w:r>
    <w:r>
      <w:rPr>
        <w:rFonts w:ascii="Calibri" w:cs="Calibri" w:eastAsia="Calibri" w:hAnsi="Calibri"/>
        <w:color w:val="B5B3B5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DCC0" w:sz="4" w:space="6"/>
      </w:pBdr>
      <w:tabs>
        <w:tab w:val="right" w:pos="9360"/>
      </w:tabs>
      <w:spacing w:after="60"/>
    </w:pPr>
    <w:r>
      <w:rPr>
        <w:rFonts w:ascii="Calibri" w:cs="Calibri" w:eastAsia="Calibri" w:hAnsi="Calibri"/>
        <w:b/>
        <w:bCs/>
        <w:color w:val="C4AA72"/>
        <w:sz w:val="17"/>
        <w:szCs w:val="17"/>
      </w:rPr>
      <w:t xml:space="preserve">BEACONSHIRE ADVISORY</w:t>
    </w:r>
    <w:r>
      <w:t xml:space="preserve">	</w:t>
    </w:r>
    <w:r>
      <w:rPr>
        <w:rFonts w:ascii="Calibri" w:cs="Calibri" w:eastAsia="Calibri" w:hAnsi="Calibri"/>
        <w:color w:val="B5B3B5"/>
        <w:sz w:val="17"/>
        <w:szCs w:val="17"/>
      </w:rPr>
      <w:t xml:space="preserve">AUDIT DEFENSE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Augusta Rule Audit-Defense Checklist</dc:title>
  <dc:creator>Beaconshire Advisory LLC</dc:creator>
  <dc:description>Augusta Rule (IRC §280A(g)) S-Corp Compliance Package</dc:description>
  <cp:lastModifiedBy>Un-named</cp:lastModifiedBy>
  <cp:revision>1</cp:revision>
  <dcterms:created xsi:type="dcterms:W3CDTF">2026-04-27T20:02:10.117Z</dcterms:created>
  <dcterms:modified xsi:type="dcterms:W3CDTF">2026-04-27T20:02:10.117Z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