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20"/>
      </w:pPr>
      <w:r>
        <w:rPr>
          <w:rFonts w:ascii="Calibri" w:cs="Calibri" w:eastAsia="Calibri" w:hAnsi="Calibri"/>
          <w:b/>
          <w:bCs/>
          <w:color w:val="C4AA72"/>
          <w:spacing w:val="30"/>
          <w:sz w:val="18"/>
          <w:szCs w:val="18"/>
        </w:rPr>
        <w:t xml:space="preserve">TEMPLATE — ANNUAL SUMMARY</w:t>
      </w:r>
    </w:p>
    <w:p>
      <w:pPr>
        <w:spacing w:after="60"/>
      </w:pPr>
      <w:r>
        <w:rPr>
          <w:rFonts w:ascii="Cambria" w:cs="Cambria" w:eastAsia="Cambria" w:hAnsi="Cambria"/>
          <w:b/>
          <w:bCs/>
          <w:color w:val="0B1628"/>
          <w:sz w:val="44"/>
          <w:szCs w:val="44"/>
        </w:rPr>
        <w:t xml:space="preserve">Annual Summary Worksheet</w:t>
      </w:r>
    </w:p>
    <w:p>
      <w:pPr>
        <w:pBdr>
          <w:bottom w:val="single" w:color="C4AA72" w:sz="14" w:space="2"/>
        </w:pBdr>
        <w:spacing w:after="200" w:before="0"/>
        <w:ind w:right="8060"/>
      </w:pPr>
      <w:r>
        <w:t xml:space="preserve"/>
      </w:r>
    </w:p>
    <w:p>
      <w:pPr>
        <w:spacing w:after="240"/>
      </w:pPr>
      <w:r>
        <w:rPr>
          <w:rFonts w:ascii="Cambria" w:cs="Cambria" w:eastAsia="Cambria" w:hAnsi="Cambria"/>
          <w:i/>
          <w:iCs/>
          <w:color w:val="212020"/>
          <w:sz w:val="24"/>
          <w:szCs w:val="24"/>
        </w:rPr>
        <w:t xml:space="preserve">Completed at year-end and given to the tax preparer with the tax-organizer materials. Summarizes the year's rental activity and confirms compliance with the 14-day limit.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single" w:color="C4AA72" w:sz="24" w:space="0"/>
              <w:bottom w:val="none" w:color="FFFFFF" w:sz="0"/>
              <w:right w:val="none" w:color="FFFFFF" w:sz="0"/>
            </w:tcBorders>
            <w:shd w:fill="FBF7EE" w:color="auto" w:val="clear"/>
            <w:tcMar>
              <w:top w:type="dxa" w:w="200"/>
              <w:left w:type="dxa" w:w="240"/>
              <w:bottom w:type="dxa" w:w="200"/>
              <w:right w:type="dxa" w:w="20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b/>
                <w:bCs/>
                <w:color w:val="C4AA72"/>
                <w:spacing w:val="20"/>
                <w:sz w:val="18"/>
                <w:szCs w:val="18"/>
              </w:rPr>
              <w:t xml:space="preserve">WHY IT MATTERS</w:t>
            </w:r>
          </w:p>
          <w:p>
            <w:pPr>
              <w:spacing w:after="0" w:line="280"/>
            </w:pPr>
            <w:r>
              <w:rPr>
                <w:rFonts w:ascii="Calibri" w:cs="Calibri" w:eastAsia="Calibri" w:hAnsi="Calibri"/>
                <w:color w:val="212020"/>
                <w:sz w:val="20"/>
                <w:szCs w:val="20"/>
              </w:rPr>
              <w:t xml:space="preserve">This is the bridge between the year's documentation and the tax return. The preparer uses it to confirm the rental income belongs on the homeowner's return as Schedule E (reported and netted to zero, in the recommended approach) and that the corporate deduction matches the homeowner's reported gross. A mismatch between these two figures is one of the leading triggers for examination.</w:t>
            </w:r>
          </w:p>
        </w:tc>
      </w:tr>
    </w:tbl>
    <w:p>
      <w:pPr>
        <w:spacing w:after="20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Calendar year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e.g., 2026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Property address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</w:tr>
    </w:tbl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Homeowner name and SSN/EIN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Corporation name and EIN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Activity Totals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Total rental days in year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Must not exceed 14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Total rental events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Number of separate meetings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Total income received (USD)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Sum of all payments cleared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Average daily rate (USD)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  <w:p>
            <w:pPr>
              <w:spacing w:after="80" w:before="0"/>
            </w:pPr>
            <w:r>
              <w:rPr>
                <w:rFonts w:ascii="Calibri" w:cs="Calibri" w:eastAsia="Calibri" w:hAnsi="Calibri"/>
                <w:i/>
                <w:iCs/>
                <w:color w:val="B5B3B5"/>
                <w:sz w:val="16"/>
                <w:szCs w:val="16"/>
              </w:rPr>
              <w:t xml:space="preserve">Total income ÷ total days</w:t>
            </w:r>
          </w:p>
        </w:tc>
      </w:tr>
    </w:tbl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00"/>
        <w:gridCol w:w="4600"/>
      </w:tblGrid>
      <w:tr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Highest single-event rate (USD)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  <w:tc>
          <w:tcPr>
            <w:tcW w:type="dxa" w:w="46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80"/>
            </w:tcMar>
          </w:tcPr>
          <w:p>
            <w:pPr>
              <w:spacing w:after="40" w:before="180"/>
            </w:pPr>
            <w:r>
              <w:rPr>
                <w:rFonts w:ascii="Calibri" w:cs="Calibri" w:eastAsia="Calibri" w:hAnsi="Calibri"/>
                <w:b/>
                <w:bCs/>
                <w:color w:val="0B1628"/>
                <w:sz w:val="20"/>
                <w:szCs w:val="20"/>
              </w:rPr>
              <w:t xml:space="preserve">Lowest single-event rate (USD)</w:t>
            </w:r>
          </w:p>
          <w:p>
            <w:pPr>
              <w:pBdr>
                <w:bottom w:val="single" w:color="212020" w:sz="6" w:space="4"/>
              </w:pBdr>
              <w:spacing w:after="30" w:before="180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 </w:t>
            </w:r>
          </w:p>
        </w:tc>
      </w:tr>
    </w:tbl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Other Entities Renting Same Residence (if any)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If more than one entity rented the residence in this calendar year, list each entity and its share of the total rental days. The 14-day limit applies in the aggregate across all entities.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Other entities and day allocation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Entity name | days rented | total income paid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120" w:hRule="atLeast"/>
        </w:trPr>
        <w:tc>
          <w:tcPr>
            <w:tcW w:type="dxa" w:w="9360"/>
            <w:tcBorders>
              <w:top w:val="single" w:color="B5B3B5" w:sz="4" w:space="1"/>
              <w:left w:val="single" w:color="B5B3B5" w:sz="4" w:space="1"/>
              <w:bottom w:val="single" w:color="B5B3B5" w:sz="4" w:space="1"/>
              <w:right w:val="single" w:color="B5B3B5" w:sz="4" w:space="1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r>
              <w:t xml:space="preserve"> </w:t>
            </w:r>
          </w:p>
        </w:tc>
      </w:tr>
    </w:tbl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Form 1099-MISC Reporting</w:t>
      </w:r>
    </w:p>
    <w:p>
      <w:pPr>
        <w:spacing w:after="160" w:line="300"/>
      </w:pPr>
      <w:r>
        <w:rPr>
          <w:rFonts w:ascii="Calibri" w:cs="Calibri" w:eastAsia="Calibri" w:hAnsi="Calibri"/>
          <w:b/>
          <w:bCs/>
          <w:color w:val="0B1628"/>
          <w:sz w:val="22"/>
          <w:szCs w:val="22"/>
        </w:rPr>
        <w:t xml:space="preserve">Threshold reached?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Yes / No (circle one). For 2026 filings (tax year 2026), the threshold is $2,000 per the One Big Beautiful Bill Act revision; for prior years, it was $600. Beaconshire's recommendation is to file regardless of threshold.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Form 1099-MISC issued?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Yes / No, and date filed if yes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Form W-9 obtained from homeowner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Yes / No, and date received</w:t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Schedule E Reporting Election</w:t>
      </w:r>
    </w:p>
    <w:p>
      <w:pPr>
        <w:spacing w:after="160" w:line="300"/>
      </w:pPr>
      <w:r>
        <w:rPr>
          <w:rFonts w:ascii="Calibri" w:cs="Calibri" w:eastAsia="Calibri" w:hAnsi="Calibri"/>
          <w:color w:val="212020"/>
          <w:sz w:val="22"/>
          <w:szCs w:val="22"/>
        </w:rPr>
        <w:t xml:space="preserve">Check the option that matches what was actually reported on the homeowner's individual return: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Option A — Income excluded; not reported on Schedule E. Acceptable but provides less documentation if a 1099-MISC was issued.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Option B (recommended) — Income reported on Schedule E line 3 (rents), with offsetting expense entry to bring the net to zero, supported by an attached statement citing IRC §280A(g).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Notes on reporting decision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Cite the line and the offset amount; preparer initial.</w:t>
      </w:r>
    </w:p>
    <w:p>
      <w:pPr>
        <w:spacing w:after="80" w:before="280"/>
      </w:pPr>
      <w:r>
        <w:rPr>
          <w:rFonts w:ascii="Calibri" w:cs="Calibri" w:eastAsia="Calibri" w:hAnsi="Calibri"/>
          <w:b/>
          <w:bCs/>
          <w:color w:val="2E407C"/>
          <w:sz w:val="24"/>
          <w:szCs w:val="24"/>
        </w:rPr>
        <w:t xml:space="preserve">Documentation Review — Confirm All Are on File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Board resolution authorizing rental program for the year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One executed Short-Term Rental Agreement per rental event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One FMV Worksheet per rental event, dated before the event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Meeting agenda for each event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Meeting minutes for each event, signed by the meeting secretary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Invoice for each rental event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Bank statement showing each payment cleared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Form W-9 from homeowner (and 1099-MISC if applicable)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Day-count tracker showing total ≤ 14 days</w:t>
      </w:r>
    </w:p>
    <w:p>
      <w:pPr>
        <w:spacing w:after="80" w:before="80" w:line="280"/>
        <w:ind w:left="360" w:hanging="360"/>
      </w:pPr>
      <w:r>
        <w:rPr>
          <w:rFonts w:ascii="Calibri" w:cs="Calibri" w:eastAsia="Calibri" w:hAnsi="Calibri"/>
          <w:color w:val="0B1628"/>
          <w:sz w:val="24"/>
          <w:szCs w:val="24"/>
        </w:rPr>
        <w:t xml:space="preserve">☐  </w:t>
      </w:r>
      <w:r>
        <w:rPr>
          <w:rFonts w:ascii="Calibri" w:cs="Calibri" w:eastAsia="Calibri" w:hAnsi="Calibri"/>
          <w:color w:val="212020"/>
          <w:sz w:val="22"/>
          <w:szCs w:val="22"/>
        </w:rPr>
        <w:t xml:space="preserve">Payment log reconciled to total income</w:t>
      </w:r>
    </w:p>
    <w:p>
      <w:pPr>
        <w:spacing w:after="240"/>
      </w:pPr>
      <w:r>
        <w:t xml:space="preserve"/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Prepared by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Name and title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Date prepared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MM/DD/YYYY</w:t>
      </w:r>
    </w:p>
    <w:p>
      <w:pPr>
        <w:spacing w:after="40" w:before="180"/>
      </w:pPr>
      <w:r>
        <w:rPr>
          <w:rFonts w:ascii="Calibri" w:cs="Calibri" w:eastAsia="Calibri" w:hAnsi="Calibri"/>
          <w:b/>
          <w:bCs/>
          <w:color w:val="0B1628"/>
          <w:sz w:val="20"/>
          <w:szCs w:val="20"/>
        </w:rPr>
        <w:t xml:space="preserve">Reviewed by tax preparer</w:t>
      </w:r>
    </w:p>
    <w:p>
      <w:pPr>
        <w:pBdr>
          <w:bottom w:val="single" w:color="212020" w:sz="6" w:space="4"/>
        </w:pBdr>
        <w:spacing w:after="30" w:before="180"/>
      </w:pPr>
      <w:r>
        <w:rPr>
          <w:rFonts w:ascii="Calibri" w:cs="Calibri" w:eastAsia="Calibri" w:hAnsi="Calibri"/>
          <w:sz w:val="22"/>
          <w:szCs w:val="22"/>
        </w:rPr>
        <w:t xml:space="preserve"> 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Name of credentialed preparer (CPA, EA, attorney) and date</w:t>
      </w:r>
    </w:p>
    <w:p>
      <w:pPr>
        <w:spacing w:after="0" w:before="480"/>
        <w:jc w:val="center"/>
      </w:pPr>
      <w:r>
        <w:rPr>
          <w:rFonts w:ascii="Calibri" w:cs="Calibri" w:eastAsia="Calibri" w:hAnsi="Calibri"/>
          <w:i/>
          <w:iCs/>
          <w:color w:val="B5B3B5"/>
          <w:sz w:val="16"/>
          <w:szCs w:val="16"/>
        </w:rPr>
        <w:t xml:space="preserve">Part of the Beaconshire Augusta Rule (IRC §280A(g)) S-Corp Compliance Package. Retain the completed original in the audit file.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8DCC0" w:sz="4" w:space="6"/>
      </w:pBdr>
      <w:tabs>
        <w:tab w:val="right" w:pos="9360"/>
      </w:tabs>
      <w:spacing w:before="80"/>
    </w:pPr>
    <w:r>
      <w:rPr>
        <w:rFonts w:ascii="Calibri" w:cs="Calibri" w:eastAsia="Calibri" w:hAnsi="Calibri"/>
        <w:color w:val="B5B3B5"/>
        <w:sz w:val="16"/>
        <w:szCs w:val="16"/>
      </w:rPr>
      <w:t xml:space="preserve">Annual Summary Worksheet</w:t>
    </w:r>
    <w:r>
      <w:t xml:space="preserve">	</w:t>
    </w:r>
    <w:r>
      <w:rPr>
        <w:rFonts w:ascii="Calibri" w:cs="Calibri" w:eastAsia="Calibri" w:hAnsi="Calibri"/>
        <w:color w:val="B5B3B5"/>
        <w:sz w:val="16"/>
        <w:szCs w:val="16"/>
      </w:rPr>
      <w:t xml:space="preserve">Page </w:t>
    </w:r>
    <w:r>
      <w:rPr>
        <w:rFonts w:ascii="Calibri" w:cs="Calibri" w:eastAsia="Calibri" w:hAnsi="Calibri"/>
        <w:color w:val="B5B3B5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8DCC0" w:sz="4" w:space="6"/>
      </w:pBdr>
      <w:tabs>
        <w:tab w:val="right" w:pos="9360"/>
      </w:tabs>
      <w:spacing w:after="60"/>
    </w:pPr>
    <w:r>
      <w:rPr>
        <w:rFonts w:ascii="Calibri" w:cs="Calibri" w:eastAsia="Calibri" w:hAnsi="Calibri"/>
        <w:b/>
        <w:bCs/>
        <w:color w:val="C4AA72"/>
        <w:sz w:val="17"/>
        <w:szCs w:val="17"/>
      </w:rPr>
      <w:t xml:space="preserve">BEACONSHIRE ADVISORY</w:t>
    </w:r>
    <w:r>
      <w:t xml:space="preserve">	</w:t>
    </w:r>
    <w:r>
      <w:rPr>
        <w:rFonts w:ascii="Calibri" w:cs="Calibri" w:eastAsia="Calibri" w:hAnsi="Calibri"/>
        <w:color w:val="B5B3B5"/>
        <w:sz w:val="17"/>
        <w:szCs w:val="17"/>
      </w:rPr>
      <w:t xml:space="preserve">ANNUAL SUMMARY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Annual Summary Worksheet</dc:title>
  <dc:creator>Beaconshire Advisory LLC</dc:creator>
  <dc:description>Augusta Rule (IRC §280A(g)) S-Corp Compliance Package</dc:description>
  <cp:lastModifiedBy>Un-named</cp:lastModifiedBy>
  <cp:revision>1</cp:revision>
  <dcterms:created xsi:type="dcterms:W3CDTF">2026-04-27T20:02:10.091Z</dcterms:created>
  <dcterms:modified xsi:type="dcterms:W3CDTF">2026-04-27T20:02:10.091Z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