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120"/>
      </w:pPr>
      <w:r>
        <w:rPr>
          <w:rFonts w:ascii="Calibri" w:cs="Calibri" w:eastAsia="Calibri" w:hAnsi="Calibri"/>
          <w:b/>
          <w:bCs/>
          <w:color w:val="C4AA72"/>
          <w:spacing w:val="30"/>
          <w:sz w:val="18"/>
          <w:szCs w:val="18"/>
        </w:rPr>
        <w:t xml:space="preserve">TEMPLATE — DAY-COUNT TRACKER</w:t>
      </w:r>
    </w:p>
    <w:p>
      <w:pPr>
        <w:spacing w:after="60"/>
      </w:pPr>
      <w:r>
        <w:rPr>
          <w:rFonts w:ascii="Cambria" w:cs="Cambria" w:eastAsia="Cambria" w:hAnsi="Cambria"/>
          <w:b/>
          <w:bCs/>
          <w:color w:val="0B1628"/>
          <w:sz w:val="44"/>
          <w:szCs w:val="44"/>
        </w:rPr>
        <w:t xml:space="preserve">Annual Day-Count Tracker</w:t>
      </w:r>
    </w:p>
    <w:p>
      <w:pPr>
        <w:pBdr>
          <w:bottom w:val="single" w:color="C4AA72" w:sz="14" w:space="2"/>
        </w:pBdr>
        <w:spacing w:after="200" w:before="0"/>
        <w:ind w:right="8060"/>
      </w:pPr>
      <w:r>
        <w:t xml:space="preserve"/>
      </w:r>
    </w:p>
    <w:p>
      <w:pPr>
        <w:spacing w:after="240"/>
      </w:pPr>
      <w:r>
        <w:rPr>
          <w:rFonts w:ascii="Cambria" w:cs="Cambria" w:eastAsia="Cambria" w:hAnsi="Cambria"/>
          <w:i/>
          <w:iCs/>
          <w:color w:val="212020"/>
          <w:sz w:val="24"/>
          <w:szCs w:val="24"/>
        </w:rPr>
        <w:t xml:space="preserve">Maintain a single calendar across all entities and rental events. The 14-day cap is a hard cliff. Crossing it for any reason vaporizes the year's exclusion.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single" w:color="C4AA72" w:sz="24" w:space="0"/>
              <w:bottom w:val="none" w:color="FFFFFF" w:sz="0"/>
              <w:right w:val="none" w:color="FFFFFF" w:sz="0"/>
            </w:tcBorders>
            <w:shd w:fill="FBF7EE" w:color="auto" w:val="clear"/>
            <w:tcMar>
              <w:top w:type="dxa" w:w="200"/>
              <w:left w:type="dxa" w:w="240"/>
              <w:bottom w:type="dxa" w:w="200"/>
              <w:right w:type="dxa" w:w="20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b/>
                <w:bCs/>
                <w:color w:val="C4AA72"/>
                <w:spacing w:val="20"/>
                <w:sz w:val="18"/>
                <w:szCs w:val="18"/>
              </w:rPr>
              <w:t xml:space="preserve">HEADS UP — COUNT EVERY RENTAL DAY, EVERY ENTITY</w:t>
            </w:r>
          </w:p>
          <w:p>
            <w:pPr>
              <w:spacing w:after="0" w:line="280"/>
            </w:pPr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If two related entities both rent the same residence in the same year, all rental days count toward the 14-day cap on that property. Track every event on a single calendar before scheduling a new one. The day-count tracker below is the master document — every other tracker (calendar app, accounting system) feeds into it.</w:t>
            </w:r>
          </w:p>
        </w:tc>
      </w:tr>
    </w:tbl>
    <w:p>
      <w:pPr>
        <w:spacing w:after="2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600"/>
      </w:tblGrid>
      <w:tr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Calendar year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e.g., 2026</w:t>
            </w:r>
          </w:p>
        </w:tc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Property address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</w:tc>
      </w:tr>
    </w:tbl>
    <w:p>
      <w:pPr>
        <w:spacing w:after="160"/>
      </w:pPr>
      <w:r>
        <w:t xml:space="preserve"/>
      </w:r>
    </w:p>
    <w:p>
      <w:pPr>
        <w:spacing w:after="80" w:before="280"/>
      </w:pPr>
      <w:r>
        <w:rPr>
          <w:rFonts w:ascii="Calibri" w:cs="Calibri" w:eastAsia="Calibri" w:hAnsi="Calibri"/>
          <w:b/>
          <w:bCs/>
          <w:color w:val="2E407C"/>
          <w:sz w:val="24"/>
          <w:szCs w:val="24"/>
        </w:rPr>
        <w:t xml:space="preserve">14 Permitted Rental Days — Year-to-Date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00"/>
        <w:gridCol w:w="1300"/>
        <w:gridCol w:w="2400"/>
        <w:gridCol w:w="2800"/>
        <w:gridCol w:w="1080"/>
        <w:gridCol w:w="980"/>
      </w:tblGrid>
      <w:tr>
        <w:trPr>
          <w:tblHeader/>
          <w:trHeight w:val="360" w:hRule="atLeast"/>
        </w:trPr>
        <w:tc>
          <w:tcPr>
            <w:tcW w:type="dxa" w:w="800"/>
            <w:tcBorders>
              <w:top w:val="single" w:color="0B1628" w:sz="4"/>
              <w:left w:val="single" w:color="0B1628" w:sz="4"/>
              <w:bottom w:val="single" w:color="0B1628" w:sz="4"/>
              <w:right w:val="single" w:color="0B1628" w:sz="4"/>
            </w:tcBorders>
            <w:shd w:fill="0B1628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DFEFE"/>
                <w:sz w:val="20"/>
                <w:szCs w:val="20"/>
              </w:rPr>
              <w:t xml:space="preserve">Day</w:t>
            </w:r>
          </w:p>
        </w:tc>
        <w:tc>
          <w:tcPr>
            <w:tcW w:type="dxa" w:w="1300"/>
            <w:tcBorders>
              <w:top w:val="single" w:color="0B1628" w:sz="4"/>
              <w:left w:val="single" w:color="0B1628" w:sz="4"/>
              <w:bottom w:val="single" w:color="0B1628" w:sz="4"/>
              <w:right w:val="single" w:color="0B1628" w:sz="4"/>
            </w:tcBorders>
            <w:shd w:fill="0B1628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DFEFE"/>
                <w:sz w:val="20"/>
                <w:szCs w:val="20"/>
              </w:rPr>
              <w:t xml:space="preserve">Date</w:t>
            </w:r>
          </w:p>
        </w:tc>
        <w:tc>
          <w:tcPr>
            <w:tcW w:type="dxa" w:w="2400"/>
            <w:tcBorders>
              <w:top w:val="single" w:color="0B1628" w:sz="4"/>
              <w:left w:val="single" w:color="0B1628" w:sz="4"/>
              <w:bottom w:val="single" w:color="0B1628" w:sz="4"/>
              <w:right w:val="single" w:color="0B1628" w:sz="4"/>
            </w:tcBorders>
            <w:shd w:fill="0B1628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DFEFE"/>
                <w:sz w:val="20"/>
                <w:szCs w:val="20"/>
              </w:rPr>
              <w:t xml:space="preserve">Renting entity</w:t>
            </w:r>
          </w:p>
        </w:tc>
        <w:tc>
          <w:tcPr>
            <w:tcW w:type="dxa" w:w="2800"/>
            <w:tcBorders>
              <w:top w:val="single" w:color="0B1628" w:sz="4"/>
              <w:left w:val="single" w:color="0B1628" w:sz="4"/>
              <w:bottom w:val="single" w:color="0B1628" w:sz="4"/>
              <w:right w:val="single" w:color="0B1628" w:sz="4"/>
            </w:tcBorders>
            <w:shd w:fill="0B1628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DFEFE"/>
                <w:sz w:val="20"/>
                <w:szCs w:val="20"/>
              </w:rPr>
              <w:t xml:space="preserve">Meeting / purpose</w:t>
            </w:r>
          </w:p>
        </w:tc>
        <w:tc>
          <w:tcPr>
            <w:tcW w:type="dxa" w:w="1080"/>
            <w:tcBorders>
              <w:top w:val="single" w:color="0B1628" w:sz="4"/>
              <w:left w:val="single" w:color="0B1628" w:sz="4"/>
              <w:bottom w:val="single" w:color="0B1628" w:sz="4"/>
              <w:right w:val="single" w:color="0B1628" w:sz="4"/>
            </w:tcBorders>
            <w:shd w:fill="0B1628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DFEFE"/>
                <w:sz w:val="20"/>
                <w:szCs w:val="20"/>
              </w:rPr>
              <w:t xml:space="preserve">Hours</w:t>
            </w:r>
          </w:p>
        </w:tc>
        <w:tc>
          <w:tcPr>
            <w:tcW w:type="dxa" w:w="980"/>
            <w:tcBorders>
              <w:top w:val="single" w:color="0B1628" w:sz="4"/>
              <w:left w:val="single" w:color="0B1628" w:sz="4"/>
              <w:bottom w:val="single" w:color="0B1628" w:sz="4"/>
              <w:right w:val="single" w:color="0B1628" w:sz="4"/>
            </w:tcBorders>
            <w:shd w:fill="0B1628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DFEFE"/>
                <w:sz w:val="20"/>
                <w:szCs w:val="20"/>
              </w:rPr>
              <w:t xml:space="preserve">Cumulative</w:t>
            </w:r>
          </w:p>
        </w:tc>
      </w:tr>
      <w:tr>
        <w:trPr>
          <w:trHeight w:val="440" w:hRule="atLeast"/>
        </w:trPr>
        <w:tc>
          <w:tcPr>
            <w:tcW w:type="dxa" w:w="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1</w:t>
            </w:r>
          </w:p>
        </w:tc>
        <w:tc>
          <w:tcPr>
            <w:tcW w:type="dxa" w:w="13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10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9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</w:tr>
      <w:tr>
        <w:trPr>
          <w:trHeight w:val="440" w:hRule="atLeast"/>
        </w:trPr>
        <w:tc>
          <w:tcPr>
            <w:tcW w:type="dxa" w:w="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2</w:t>
            </w:r>
          </w:p>
        </w:tc>
        <w:tc>
          <w:tcPr>
            <w:tcW w:type="dxa" w:w="13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10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9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</w:tr>
      <w:tr>
        <w:trPr>
          <w:trHeight w:val="440" w:hRule="atLeast"/>
        </w:trPr>
        <w:tc>
          <w:tcPr>
            <w:tcW w:type="dxa" w:w="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3</w:t>
            </w:r>
          </w:p>
        </w:tc>
        <w:tc>
          <w:tcPr>
            <w:tcW w:type="dxa" w:w="13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10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9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</w:tr>
      <w:tr>
        <w:trPr>
          <w:trHeight w:val="440" w:hRule="atLeast"/>
        </w:trPr>
        <w:tc>
          <w:tcPr>
            <w:tcW w:type="dxa" w:w="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4</w:t>
            </w:r>
          </w:p>
        </w:tc>
        <w:tc>
          <w:tcPr>
            <w:tcW w:type="dxa" w:w="13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10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9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</w:tr>
      <w:tr>
        <w:trPr>
          <w:trHeight w:val="440" w:hRule="atLeast"/>
        </w:trPr>
        <w:tc>
          <w:tcPr>
            <w:tcW w:type="dxa" w:w="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5</w:t>
            </w:r>
          </w:p>
        </w:tc>
        <w:tc>
          <w:tcPr>
            <w:tcW w:type="dxa" w:w="13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10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9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</w:tr>
      <w:tr>
        <w:trPr>
          <w:trHeight w:val="440" w:hRule="atLeast"/>
        </w:trPr>
        <w:tc>
          <w:tcPr>
            <w:tcW w:type="dxa" w:w="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6</w:t>
            </w:r>
          </w:p>
        </w:tc>
        <w:tc>
          <w:tcPr>
            <w:tcW w:type="dxa" w:w="13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10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9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</w:tr>
      <w:tr>
        <w:trPr>
          <w:trHeight w:val="440" w:hRule="atLeast"/>
        </w:trPr>
        <w:tc>
          <w:tcPr>
            <w:tcW w:type="dxa" w:w="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7</w:t>
            </w:r>
          </w:p>
        </w:tc>
        <w:tc>
          <w:tcPr>
            <w:tcW w:type="dxa" w:w="13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10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9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</w:tr>
      <w:tr>
        <w:trPr>
          <w:trHeight w:val="440" w:hRule="atLeast"/>
        </w:trPr>
        <w:tc>
          <w:tcPr>
            <w:tcW w:type="dxa" w:w="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8</w:t>
            </w:r>
          </w:p>
        </w:tc>
        <w:tc>
          <w:tcPr>
            <w:tcW w:type="dxa" w:w="13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10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9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</w:tr>
      <w:tr>
        <w:trPr>
          <w:trHeight w:val="440" w:hRule="atLeast"/>
        </w:trPr>
        <w:tc>
          <w:tcPr>
            <w:tcW w:type="dxa" w:w="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9</w:t>
            </w:r>
          </w:p>
        </w:tc>
        <w:tc>
          <w:tcPr>
            <w:tcW w:type="dxa" w:w="13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10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9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</w:tr>
      <w:tr>
        <w:trPr>
          <w:trHeight w:val="440" w:hRule="atLeast"/>
        </w:trPr>
        <w:tc>
          <w:tcPr>
            <w:tcW w:type="dxa" w:w="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10</w:t>
            </w:r>
          </w:p>
        </w:tc>
        <w:tc>
          <w:tcPr>
            <w:tcW w:type="dxa" w:w="13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10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9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</w:tr>
      <w:tr>
        <w:trPr>
          <w:trHeight w:val="440" w:hRule="atLeast"/>
        </w:trPr>
        <w:tc>
          <w:tcPr>
            <w:tcW w:type="dxa" w:w="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11</w:t>
            </w:r>
          </w:p>
        </w:tc>
        <w:tc>
          <w:tcPr>
            <w:tcW w:type="dxa" w:w="13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10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9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</w:tr>
      <w:tr>
        <w:trPr>
          <w:trHeight w:val="440" w:hRule="atLeast"/>
        </w:trPr>
        <w:tc>
          <w:tcPr>
            <w:tcW w:type="dxa" w:w="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12</w:t>
            </w:r>
          </w:p>
        </w:tc>
        <w:tc>
          <w:tcPr>
            <w:tcW w:type="dxa" w:w="13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10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9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</w:tr>
      <w:tr>
        <w:trPr>
          <w:trHeight w:val="440" w:hRule="atLeast"/>
        </w:trPr>
        <w:tc>
          <w:tcPr>
            <w:tcW w:type="dxa" w:w="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E8DCC0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13</w:t>
            </w:r>
          </w:p>
        </w:tc>
        <w:tc>
          <w:tcPr>
            <w:tcW w:type="dxa" w:w="13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E8DCC0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E8DCC0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E8DCC0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10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E8DCC0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9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E8DCC0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</w:tr>
      <w:tr>
        <w:trPr>
          <w:trHeight w:val="440" w:hRule="atLeast"/>
        </w:trPr>
        <w:tc>
          <w:tcPr>
            <w:tcW w:type="dxa" w:w="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E8DCC0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14</w:t>
            </w:r>
          </w:p>
        </w:tc>
        <w:tc>
          <w:tcPr>
            <w:tcW w:type="dxa" w:w="13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E8DCC0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E8DCC0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E8DCC0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10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E8DCC0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98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E8DCC0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</w:tr>
    </w:tbl>
    <w:p>
      <w:pPr>
        <w:spacing w:after="2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single" w:color="C4AA72" w:sz="24" w:space="0"/>
              <w:bottom w:val="none" w:color="FFFFFF" w:sz="0"/>
              <w:right w:val="none" w:color="FFFFFF" w:sz="0"/>
            </w:tcBorders>
            <w:shd w:fill="FBF7EE" w:color="auto" w:val="clear"/>
            <w:tcMar>
              <w:top w:type="dxa" w:w="200"/>
              <w:left w:type="dxa" w:w="240"/>
              <w:bottom w:type="dxa" w:w="200"/>
              <w:right w:type="dxa" w:w="20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b/>
                <w:bCs/>
                <w:color w:val="C4AA72"/>
                <w:spacing w:val="20"/>
                <w:sz w:val="18"/>
                <w:szCs w:val="18"/>
              </w:rPr>
              <w:t xml:space="preserve">STOP — DAY 15 IS A CLIFF</w:t>
            </w:r>
          </w:p>
          <w:p>
            <w:pPr>
              <w:spacing w:after="0" w:line="280"/>
            </w:pPr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If day 15 is rented for any reason — even one hour, even to a different entity, even by accident — the entire year's §280A(g) exclusion is lost. There is no proration and no relief. The two highlighted rows above are intentional — treat days 13 and 14 as the warning track. If you find yourself approaching day 13 in a year, stop scheduling new rentals and call your tax advisor before the next event.</w:t>
            </w:r>
          </w:p>
        </w:tc>
      </w:tr>
    </w:tbl>
    <w:p>
      <w:pPr>
        <w:spacing w:after="240"/>
      </w:pPr>
      <w:r>
        <w:t xml:space="preserve"/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Maintained by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Name and title of person responsible for the tracker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Date last updated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MM/DD/YYYY</w:t>
      </w:r>
    </w:p>
    <w:p>
      <w:pPr>
        <w:spacing w:after="0" w:before="480"/>
        <w:jc w:val="center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Part of the Beaconshire Augusta Rule (IRC §280A(g)) S-Corp Compliance Package. Retain the completed original in the audit file.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E8DCC0" w:sz="4" w:space="6"/>
      </w:pBdr>
      <w:tabs>
        <w:tab w:val="right" w:pos="9360"/>
      </w:tabs>
      <w:spacing w:before="80"/>
    </w:pPr>
    <w:r>
      <w:rPr>
        <w:rFonts w:ascii="Calibri" w:cs="Calibri" w:eastAsia="Calibri" w:hAnsi="Calibri"/>
        <w:color w:val="B5B3B5"/>
        <w:sz w:val="16"/>
        <w:szCs w:val="16"/>
      </w:rPr>
      <w:t xml:space="preserve">Annual Day-Count Tracker</w:t>
    </w:r>
    <w:r>
      <w:t xml:space="preserve">	</w:t>
    </w:r>
    <w:r>
      <w:rPr>
        <w:rFonts w:ascii="Calibri" w:cs="Calibri" w:eastAsia="Calibri" w:hAnsi="Calibri"/>
        <w:color w:val="B5B3B5"/>
        <w:sz w:val="16"/>
        <w:szCs w:val="16"/>
      </w:rPr>
      <w:t xml:space="preserve">Page </w:t>
    </w:r>
    <w:r>
      <w:rPr>
        <w:rFonts w:ascii="Calibri" w:cs="Calibri" w:eastAsia="Calibri" w:hAnsi="Calibri"/>
        <w:color w:val="B5B3B5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E8DCC0" w:sz="4" w:space="6"/>
      </w:pBdr>
      <w:tabs>
        <w:tab w:val="right" w:pos="9360"/>
      </w:tabs>
      <w:spacing w:after="60"/>
    </w:pPr>
    <w:r>
      <w:rPr>
        <w:rFonts w:ascii="Calibri" w:cs="Calibri" w:eastAsia="Calibri" w:hAnsi="Calibri"/>
        <w:b/>
        <w:bCs/>
        <w:color w:val="C4AA72"/>
        <w:sz w:val="17"/>
        <w:szCs w:val="17"/>
      </w:rPr>
      <w:t xml:space="preserve">BEACONSHIRE ADVISORY</w:t>
    </w:r>
    <w:r>
      <w:t xml:space="preserve">	</w:t>
    </w:r>
    <w:r>
      <w:rPr>
        <w:rFonts w:ascii="Calibri" w:cs="Calibri" w:eastAsia="Calibri" w:hAnsi="Calibri"/>
        <w:color w:val="B5B3B5"/>
        <w:sz w:val="17"/>
        <w:szCs w:val="17"/>
      </w:rPr>
      <w:t xml:space="preserve">DAY-COUNT TRACKER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Annual Day-Count Tracker</dc:title>
  <dc:creator>Beaconshire Advisory LLC</dc:creator>
  <dc:description>Augusta Rule (IRC §280A(g)) S-Corp Compliance Package</dc:description>
  <cp:lastModifiedBy>Un-named</cp:lastModifiedBy>
  <cp:revision>1</cp:revision>
  <dcterms:created xsi:type="dcterms:W3CDTF">2026-04-27T20:02:10.002Z</dcterms:created>
  <dcterms:modified xsi:type="dcterms:W3CDTF">2026-04-27T20:02:10.002Z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