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120"/>
      </w:pPr>
      <w:r>
        <w:rPr>
          <w:rFonts w:ascii="Calibri" w:cs="Calibri" w:eastAsia="Calibri" w:hAnsi="Calibri"/>
          <w:b/>
          <w:bCs/>
          <w:color w:val="C4AA72"/>
          <w:spacing w:val="30"/>
          <w:sz w:val="18"/>
          <w:szCs w:val="18"/>
        </w:rPr>
        <w:t xml:space="preserve">TEMPLATE — PAYMENT LOG</w:t>
      </w:r>
    </w:p>
    <w:p>
      <w:pPr>
        <w:spacing w:after="60"/>
      </w:pPr>
      <w:r>
        <w:rPr>
          <w:rFonts w:ascii="Cambria" w:cs="Cambria" w:eastAsia="Cambria" w:hAnsi="Cambria"/>
          <w:b/>
          <w:bCs/>
          <w:color w:val="0B1628"/>
          <w:sz w:val="44"/>
          <w:szCs w:val="44"/>
        </w:rPr>
        <w:t xml:space="preserve">Augusta Rule Payment Log</w:t>
      </w:r>
    </w:p>
    <w:p>
      <w:pPr>
        <w:pBdr>
          <w:bottom w:val="single" w:color="C4AA72" w:sz="14" w:space="2"/>
        </w:pBdr>
        <w:spacing w:after="200" w:before="0"/>
        <w:ind w:right="8060"/>
      </w:pPr>
      <w:r>
        <w:t xml:space="preserve"/>
      </w:r>
    </w:p>
    <w:p>
      <w:pPr>
        <w:spacing w:after="240"/>
      </w:pPr>
      <w:r>
        <w:rPr>
          <w:rFonts w:ascii="Cambria" w:cs="Cambria" w:eastAsia="Cambria" w:hAnsi="Cambria"/>
          <w:i/>
          <w:iCs/>
          <w:color w:val="212020"/>
          <w:sz w:val="24"/>
          <w:szCs w:val="24"/>
        </w:rPr>
        <w:t xml:space="preserve">One row per payment. Cross-reference each row to the invoice number and to the bank statement entry that shows the funds clearing the corporate account.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single" w:color="C4AA72" w:sz="24" w:space="0"/>
              <w:bottom w:val="none" w:color="FFFFFF" w:sz="0"/>
              <w:right w:val="none" w:color="FFFFFF" w:sz="0"/>
            </w:tcBorders>
            <w:shd w:fill="FBF7EE" w:color="auto" w:val="clear"/>
            <w:tcMar>
              <w:top w:type="dxa" w:w="200"/>
              <w:left w:type="dxa" w:w="240"/>
              <w:bottom w:type="dxa" w:w="200"/>
              <w:right w:type="dxa" w:w="200"/>
            </w:tcMar>
          </w:tcPr>
          <w:p>
            <w:pPr>
              <w:spacing w:after="80"/>
            </w:pPr>
            <w:r>
              <w:rPr>
                <w:rFonts w:ascii="Calibri" w:cs="Calibri" w:eastAsia="Calibri" w:hAnsi="Calibri"/>
                <w:b/>
                <w:bCs/>
                <w:color w:val="C4AA72"/>
                <w:spacing w:val="20"/>
                <w:sz w:val="18"/>
                <w:szCs w:val="18"/>
              </w:rPr>
              <w:t xml:space="preserve">WHY IT MATTERS</w:t>
            </w:r>
          </w:p>
          <w:p>
            <w:pPr>
              <w:spacing w:after="0" w:line="280"/>
            </w:pPr>
            <w:r>
              <w:rPr>
                <w:rFonts w:ascii="Calibri" w:cs="Calibri" w:eastAsia="Calibri" w:hAnsi="Calibri"/>
                <w:color w:val="212020"/>
                <w:sz w:val="20"/>
                <w:szCs w:val="20"/>
              </w:rPr>
              <w:t xml:space="preserve">Bank-trail substantiation is the easiest mistake to fix and the hardest to fake. Pay by check, wire, or ACH from the corporate operating account to the homeowner's personal account — never by cash, never by Venmo or PayPal personal, and never by intercompany journal entry. The payment log is the index that points an examiner to the bank statement page where each payment cleared.</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00"/>
        <w:gridCol w:w="4600"/>
      </w:tblGrid>
      <w:tr>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Calendar year</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e.g., 2026</w:t>
            </w:r>
          </w:p>
        </w:tc>
        <w:tc>
          <w:tcPr>
            <w:tcW w:type="dxa" w:w="4600"/>
            <w:tcBorders>
              <w:top w:val="none" w:color="FFFFFF" w:sz="0"/>
              <w:left w:val="none" w:color="FFFFFF" w:sz="0"/>
              <w:bottom w:val="none" w:color="FFFFFF" w:sz="0"/>
              <w:right w:val="none" w:color="FFFFFF" w:sz="0"/>
            </w:tcBorders>
            <w:tcMar>
              <w:top w:type="dxa" w:w="0"/>
              <w:left w:type="dxa" w:w="0"/>
              <w:bottom w:type="dxa" w:w="0"/>
              <w:right w:type="dxa" w:w="80"/>
            </w:tcMar>
          </w:tcPr>
          <w:p>
            <w:pPr>
              <w:spacing w:after="40" w:before="180"/>
            </w:pPr>
            <w:r>
              <w:rPr>
                <w:rFonts w:ascii="Calibri" w:cs="Calibri" w:eastAsia="Calibri" w:hAnsi="Calibri"/>
                <w:b/>
                <w:bCs/>
                <w:color w:val="0B1628"/>
                <w:sz w:val="20"/>
                <w:szCs w:val="20"/>
              </w:rPr>
              <w:t xml:space="preserve">Property address</w:t>
            </w:r>
          </w:p>
          <w:p>
            <w:pPr>
              <w:pBdr>
                <w:bottom w:val="single" w:color="212020" w:sz="6" w:space="4"/>
              </w:pBdr>
              <w:spacing w:after="30" w:before="180"/>
            </w:pPr>
            <w:r>
              <w:rPr>
                <w:rFonts w:ascii="Calibri" w:cs="Calibri" w:eastAsia="Calibri" w:hAnsi="Calibri"/>
                <w:sz w:val="22"/>
                <w:szCs w:val="22"/>
              </w:rPr>
              <w:t xml:space="preserve"> </w:t>
            </w:r>
          </w:p>
        </w:tc>
      </w:tr>
    </w:tbl>
    <w:p>
      <w:pPr>
        <w:spacing w:after="40" w:before="180"/>
      </w:pPr>
      <w:r>
        <w:rPr>
          <w:rFonts w:ascii="Calibri" w:cs="Calibri" w:eastAsia="Calibri" w:hAnsi="Calibri"/>
          <w:b/>
          <w:bCs/>
          <w:color w:val="0B1628"/>
          <w:sz w:val="20"/>
          <w:szCs w:val="20"/>
        </w:rPr>
        <w:t xml:space="preserve">Corporation name</w:t>
      </w:r>
    </w:p>
    <w:p>
      <w:pPr>
        <w:pBdr>
          <w:bottom w:val="single" w:color="212020" w:sz="6" w:space="4"/>
        </w:pBdr>
        <w:spacing w:after="30" w:before="180"/>
      </w:pPr>
      <w:r>
        <w:rPr>
          <w:rFonts w:ascii="Calibri" w:cs="Calibri" w:eastAsia="Calibri" w:hAnsi="Calibri"/>
          <w:sz w:val="22"/>
          <w:szCs w:val="22"/>
        </w:rPr>
        <w:t xml:space="preserve"> </w:t>
      </w:r>
    </w:p>
    <w:p>
      <w:pPr>
        <w:spacing w:after="160"/>
      </w:pPr>
      <w:r>
        <w:t xml:space="preserve"/>
      </w:r>
    </w:p>
    <w:p>
      <w:pPr>
        <w:spacing w:after="80" w:before="280"/>
      </w:pPr>
      <w:r>
        <w:rPr>
          <w:rFonts w:ascii="Calibri" w:cs="Calibri" w:eastAsia="Calibri" w:hAnsi="Calibri"/>
          <w:b/>
          <w:bCs/>
          <w:color w:val="2E407C"/>
          <w:sz w:val="24"/>
          <w:szCs w:val="24"/>
        </w:rPr>
        <w:t xml:space="preserve">Payment Entries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80"/>
        <w:gridCol w:w="1500"/>
        <w:gridCol w:w="1500"/>
        <w:gridCol w:w="1700"/>
        <w:gridCol w:w="1500"/>
        <w:gridCol w:w="1880"/>
      </w:tblGrid>
      <w:tr>
        <w:trPr>
          <w:tblHeader/>
          <w:trHeight w:val="360" w:hRule="atLeast"/>
        </w:trPr>
        <w:tc>
          <w:tcPr>
            <w:tcW w:type="dxa" w:w="128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Date paid</w:t>
            </w:r>
          </w:p>
        </w:tc>
        <w:tc>
          <w:tcPr>
            <w:tcW w:type="dxa" w:w="150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Invoice #</w:t>
            </w:r>
          </w:p>
        </w:tc>
        <w:tc>
          <w:tcPr>
            <w:tcW w:type="dxa" w:w="150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Method</w:t>
            </w:r>
          </w:p>
        </w:tc>
        <w:tc>
          <w:tcPr>
            <w:tcW w:type="dxa" w:w="170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Reference</w:t>
            </w:r>
          </w:p>
        </w:tc>
        <w:tc>
          <w:tcPr>
            <w:tcW w:type="dxa" w:w="150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Amount (USD)</w:t>
            </w:r>
          </w:p>
        </w:tc>
        <w:tc>
          <w:tcPr>
            <w:tcW w:type="dxa" w:w="1880"/>
            <w:tcBorders>
              <w:top w:val="single" w:color="0B1628" w:sz="4"/>
              <w:left w:val="single" w:color="0B1628" w:sz="4"/>
              <w:bottom w:val="single" w:color="0B1628" w:sz="4"/>
              <w:right w:val="single" w:color="0B1628" w:sz="4"/>
            </w:tcBorders>
            <w:shd w:fill="0B1628" w:color="auto" w:val="clear"/>
            <w:tcMar>
              <w:top w:type="dxa" w:w="100"/>
              <w:left w:type="dxa" w:w="140"/>
              <w:bottom w:type="dxa" w:w="100"/>
              <w:right w:type="dxa" w:w="140"/>
            </w:tcMar>
            <w:vAlign w:val="center"/>
          </w:tcPr>
          <w:p>
            <w:r>
              <w:rPr>
                <w:rFonts w:ascii="Calibri" w:cs="Calibri" w:eastAsia="Calibri" w:hAnsi="Calibri"/>
                <w:b/>
                <w:bCs/>
                <w:color w:val="FDFEFE"/>
                <w:sz w:val="20"/>
                <w:szCs w:val="20"/>
              </w:rPr>
              <w:t xml:space="preserve">Cleared bank (date)</w:t>
            </w:r>
          </w:p>
        </w:tc>
      </w:tr>
      <w:tr>
        <w:trPr>
          <w:trHeight w:val="460" w:hRule="atLeast"/>
        </w:trPr>
        <w:tc>
          <w:tcPr>
            <w:tcW w:type="dxa" w:w="12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DFEF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r>
        <w:trPr>
          <w:trHeight w:val="460" w:hRule="atLeast"/>
        </w:trPr>
        <w:tc>
          <w:tcPr>
            <w:tcW w:type="dxa" w:w="12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7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50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c>
          <w:tcPr>
            <w:tcW w:type="dxa" w:w="1880"/>
            <w:tcBorders>
              <w:top w:val="single" w:color="E8DCC0" w:sz="2"/>
              <w:left w:val="single" w:color="E8DCC0" w:sz="2"/>
              <w:bottom w:val="single" w:color="E8DCC0" w:sz="2"/>
              <w:right w:val="single" w:color="E8DCC0" w:sz="2"/>
            </w:tcBorders>
            <w:shd w:fill="FBF7EE" w:color="auto" w:val="clear"/>
            <w:tcMar>
              <w:top w:type="dxa" w:w="100"/>
              <w:left w:type="dxa" w:w="140"/>
              <w:bottom w:type="dxa" w:w="100"/>
              <w:right w:type="dxa" w:w="140"/>
            </w:tcMar>
            <w:vAlign w:val="center"/>
          </w:tcPr>
          <w:p>
            <w:r>
              <w:rPr>
                <w:rFonts w:ascii="Calibri" w:cs="Calibri" w:eastAsia="Calibri" w:hAnsi="Calibri"/>
                <w:color w:val="212020"/>
                <w:sz w:val="20"/>
                <w:szCs w:val="20"/>
              </w:rPr>
              <w:t xml:space="preserve"> </w:t>
            </w:r>
          </w:p>
        </w:tc>
      </w:tr>
    </w:tbl>
    <w:p>
      <w:pPr>
        <w:spacing w:after="240"/>
      </w:pPr>
      <w:r>
        <w:t xml:space="preserve"/>
      </w:r>
    </w:p>
    <w:p>
      <w:pPr>
        <w:spacing w:after="40" w:before="180"/>
      </w:pPr>
      <w:r>
        <w:rPr>
          <w:rFonts w:ascii="Calibri" w:cs="Calibri" w:eastAsia="Calibri" w:hAnsi="Calibri"/>
          <w:b/>
          <w:bCs/>
          <w:color w:val="0B1628"/>
          <w:sz w:val="20"/>
          <w:szCs w:val="20"/>
        </w:rPr>
        <w:t xml:space="preserve">Notes</w:t>
      </w:r>
    </w:p>
    <w:p>
      <w:pPr>
        <w:spacing w:after="80" w:before="0"/>
      </w:pPr>
      <w:r>
        <w:rPr>
          <w:rFonts w:ascii="Calibri" w:cs="Calibri" w:eastAsia="Calibri" w:hAnsi="Calibri"/>
          <w:i/>
          <w:iCs/>
          <w:color w:val="B5B3B5"/>
          <w:sz w:val="16"/>
          <w:szCs w:val="16"/>
        </w:rPr>
        <w:t xml:space="preserve">Use this space to note any unusual transactions, corrections, or follow-up items.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840" w:hRule="atLeast"/>
        </w:trPr>
        <w:tc>
          <w:tcPr>
            <w:tcW w:type="dxa" w:w="9360"/>
            <w:tcBorders>
              <w:top w:val="single" w:color="B5B3B5" w:sz="4" w:space="1"/>
              <w:left w:val="single" w:color="B5B3B5" w:sz="4" w:space="1"/>
              <w:bottom w:val="single" w:color="B5B3B5" w:sz="4" w:space="1"/>
              <w:right w:val="single" w:color="B5B3B5" w:sz="4" w:space="1"/>
            </w:tcBorders>
            <w:tcMar>
              <w:top w:type="dxa" w:w="100"/>
              <w:left w:type="dxa" w:w="120"/>
              <w:bottom w:type="dxa" w:w="100"/>
              <w:right w:type="dxa" w:w="120"/>
            </w:tcMar>
          </w:tcPr>
          <w:p>
            <w:r>
              <w:t xml:space="preserve"> </w:t>
            </w:r>
          </w:p>
        </w:tc>
      </w:tr>
    </w:tbl>
    <w:p>
      <w:pPr>
        <w:spacing w:after="200"/>
      </w:pPr>
      <w:r>
        <w:t xml:space="preserve"/>
      </w:r>
    </w:p>
    <w:p>
      <w:pPr>
        <w:spacing w:after="40" w:before="180"/>
      </w:pPr>
      <w:r>
        <w:rPr>
          <w:rFonts w:ascii="Calibri" w:cs="Calibri" w:eastAsia="Calibri" w:hAnsi="Calibri"/>
          <w:b/>
          <w:bCs/>
          <w:color w:val="0B1628"/>
          <w:sz w:val="20"/>
          <w:szCs w:val="20"/>
        </w:rPr>
        <w:t xml:space="preserve">Prepared / updated by</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Name and title</w:t>
      </w:r>
    </w:p>
    <w:p>
      <w:pPr>
        <w:spacing w:after="40" w:before="180"/>
      </w:pPr>
      <w:r>
        <w:rPr>
          <w:rFonts w:ascii="Calibri" w:cs="Calibri" w:eastAsia="Calibri" w:hAnsi="Calibri"/>
          <w:b/>
          <w:bCs/>
          <w:color w:val="0B1628"/>
          <w:sz w:val="20"/>
          <w:szCs w:val="20"/>
        </w:rPr>
        <w:t xml:space="preserve">Date last updated</w:t>
      </w:r>
    </w:p>
    <w:p>
      <w:pPr>
        <w:pBdr>
          <w:bottom w:val="single" w:color="212020" w:sz="6" w:space="4"/>
        </w:pBdr>
        <w:spacing w:after="30" w:before="180"/>
      </w:pPr>
      <w:r>
        <w:rPr>
          <w:rFonts w:ascii="Calibri" w:cs="Calibri" w:eastAsia="Calibri" w:hAnsi="Calibri"/>
          <w:sz w:val="22"/>
          <w:szCs w:val="22"/>
        </w:rPr>
        <w:t xml:space="preserve"> </w:t>
      </w:r>
    </w:p>
    <w:p>
      <w:pPr>
        <w:spacing w:after="80" w:before="0"/>
      </w:pPr>
      <w:r>
        <w:rPr>
          <w:rFonts w:ascii="Calibri" w:cs="Calibri" w:eastAsia="Calibri" w:hAnsi="Calibri"/>
          <w:i/>
          <w:iCs/>
          <w:color w:val="B5B3B5"/>
          <w:sz w:val="16"/>
          <w:szCs w:val="16"/>
        </w:rPr>
        <w:t xml:space="preserve">MM/DD/YYYY</w:t>
      </w:r>
    </w:p>
    <w:p>
      <w:pPr>
        <w:spacing w:after="0" w:before="480"/>
        <w:jc w:val="center"/>
      </w:pPr>
      <w:r>
        <w:rPr>
          <w:rFonts w:ascii="Calibri" w:cs="Calibri" w:eastAsia="Calibri" w:hAnsi="Calibri"/>
          <w:i/>
          <w:iCs/>
          <w:color w:val="B5B3B5"/>
          <w:sz w:val="16"/>
          <w:szCs w:val="16"/>
        </w:rPr>
        <w:t xml:space="preserve">Part of the Beaconshire Augusta Rule (IRC §280A(g)) S-Corp Compliance Package. Retain the completed original in the audit file.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E8DCC0" w:sz="4" w:space="6"/>
      </w:pBdr>
      <w:tabs>
        <w:tab w:val="right" w:pos="9360"/>
      </w:tabs>
      <w:spacing w:before="80"/>
    </w:pPr>
    <w:r>
      <w:rPr>
        <w:rFonts w:ascii="Calibri" w:cs="Calibri" w:eastAsia="Calibri" w:hAnsi="Calibri"/>
        <w:color w:val="B5B3B5"/>
        <w:sz w:val="16"/>
        <w:szCs w:val="16"/>
      </w:rPr>
      <w:t xml:space="preserve">Augusta Rule Payment Log</w:t>
    </w:r>
    <w:r>
      <w:t xml:space="preserve">	</w:t>
    </w:r>
    <w:r>
      <w:rPr>
        <w:rFonts w:ascii="Calibri" w:cs="Calibri" w:eastAsia="Calibri" w:hAnsi="Calibri"/>
        <w:color w:val="B5B3B5"/>
        <w:sz w:val="16"/>
        <w:szCs w:val="16"/>
      </w:rPr>
      <w:t xml:space="preserve">Page </w:t>
    </w:r>
    <w:r>
      <w:rPr>
        <w:rFonts w:ascii="Calibri" w:cs="Calibri" w:eastAsia="Calibri" w:hAnsi="Calibri"/>
        <w:color w:val="B5B3B5"/>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E8DCC0" w:sz="4" w:space="6"/>
      </w:pBdr>
      <w:tabs>
        <w:tab w:val="right" w:pos="9360"/>
      </w:tabs>
      <w:spacing w:after="60"/>
    </w:pPr>
    <w:r>
      <w:rPr>
        <w:rFonts w:ascii="Calibri" w:cs="Calibri" w:eastAsia="Calibri" w:hAnsi="Calibri"/>
        <w:b/>
        <w:bCs/>
        <w:color w:val="C4AA72"/>
        <w:sz w:val="17"/>
        <w:szCs w:val="17"/>
      </w:rPr>
      <w:t xml:space="preserve">BEACONSHIRE ADVISORY</w:t>
    </w:r>
    <w:r>
      <w:t xml:space="preserve">	</w:t>
    </w:r>
    <w:r>
      <w:rPr>
        <w:rFonts w:ascii="Calibri" w:cs="Calibri" w:eastAsia="Calibri" w:hAnsi="Calibri"/>
        <w:color w:val="B5B3B5"/>
        <w:sz w:val="17"/>
        <w:szCs w:val="17"/>
      </w:rPr>
      <w:t xml:space="preserve">PAYMENT LOG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Augusta Rule Payment Log</dc:title>
  <dc:creator>Beaconshire Advisory LLC</dc:creator>
  <dc:description>Augusta Rule (IRC §280A(g)) S-Corp Compliance Package</dc:description>
  <cp:lastModifiedBy>Un-named</cp:lastModifiedBy>
  <cp:revision>1</cp:revision>
  <dcterms:created xsi:type="dcterms:W3CDTF">2026-04-27T20:02:09.894Z</dcterms:created>
  <dcterms:modified xsi:type="dcterms:W3CDTF">2026-04-27T20:02:09.894Z</dcterms:modified>
</cp:coreProperties>
</file>

<file path=docProps/custom.xml><?xml version="1.0" encoding="utf-8"?>
<Properties xmlns="http://schemas.openxmlformats.org/officeDocument/2006/custom-properties" xmlns:vt="http://schemas.openxmlformats.org/officeDocument/2006/docPropsVTypes"/>
</file>