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20"/>
      </w:pPr>
      <w:r>
        <w:rPr>
          <w:rFonts w:ascii="Calibri" w:cs="Calibri" w:eastAsia="Calibri" w:hAnsi="Calibri"/>
          <w:b/>
          <w:bCs/>
          <w:color w:val="C4AA72"/>
          <w:spacing w:val="30"/>
          <w:sz w:val="18"/>
          <w:szCs w:val="18"/>
        </w:rPr>
        <w:t xml:space="preserve">TEMPLATE — RENTAL AGREEMENT</w:t>
      </w:r>
    </w:p>
    <w:p>
      <w:pPr>
        <w:spacing w:after="60"/>
      </w:pPr>
      <w:r>
        <w:rPr>
          <w:rFonts w:ascii="Cambria" w:cs="Cambria" w:eastAsia="Cambria" w:hAnsi="Cambria"/>
          <w:b/>
          <w:bCs/>
          <w:color w:val="0B1628"/>
          <w:sz w:val="44"/>
          <w:szCs w:val="44"/>
        </w:rPr>
        <w:t xml:space="preserve">Short-Term Rental Agreement</w:t>
      </w:r>
    </w:p>
    <w:p>
      <w:pPr>
        <w:pBdr>
          <w:bottom w:val="single" w:color="C4AA72" w:sz="14" w:space="2"/>
        </w:pBdr>
        <w:spacing w:after="200" w:before="0"/>
        <w:ind w:right="8060"/>
      </w:pPr>
      <w:r>
        <w:t xml:space="preserve"/>
      </w:r>
    </w:p>
    <w:p>
      <w:pPr>
        <w:spacing w:after="240"/>
      </w:pPr>
      <w:r>
        <w:rPr>
          <w:rFonts w:ascii="Cambria" w:cs="Cambria" w:eastAsia="Cambria" w:hAnsi="Cambria"/>
          <w:i/>
          <w:iCs/>
          <w:color w:val="212020"/>
          <w:sz w:val="24"/>
          <w:szCs w:val="24"/>
        </w:rPr>
        <w:t xml:space="preserve">Between the S-corporation (Tenant) and the homeowner (Landlord). Execute one agreement for each rental event, signed before the date of the event.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C4AA72" w:sz="24" w:space="0"/>
              <w:bottom w:val="none" w:color="FFFFFF" w:sz="0"/>
              <w:right w:val="none" w:color="FFFFFF" w:sz="0"/>
            </w:tcBorders>
            <w:shd w:fill="FBF7EE" w:color="auto" w:val="clear"/>
            <w:tcMar>
              <w:top w:type="dxa" w:w="200"/>
              <w:left w:type="dxa" w:w="240"/>
              <w:bottom w:type="dxa" w:w="200"/>
              <w:right w:type="dxa" w:w="200"/>
            </w:tcMar>
          </w:tcPr>
          <w:p>
            <w:pPr>
              <w:spacing w:after="80"/>
            </w:pPr>
            <w:r>
              <w:rPr>
                <w:rFonts w:ascii="Calibri" w:cs="Calibri" w:eastAsia="Calibri" w:hAnsi="Calibri"/>
                <w:b/>
                <w:bCs/>
                <w:color w:val="C4AA72"/>
                <w:spacing w:val="20"/>
                <w:sz w:val="18"/>
                <w:szCs w:val="18"/>
              </w:rPr>
              <w:t xml:space="preserve">WHY IT MATTERS</w:t>
            </w:r>
          </w:p>
          <w:p>
            <w:pPr>
              <w:spacing w:after="0" w:line="280"/>
            </w:pPr>
            <w:r>
              <w:rPr>
                <w:rFonts w:ascii="Calibri" w:cs="Calibri" w:eastAsia="Calibri" w:hAnsi="Calibri"/>
                <w:color w:val="212020"/>
                <w:sz w:val="20"/>
                <w:szCs w:val="20"/>
              </w:rPr>
              <w:t xml:space="preserve">An audit examiner asked to substantiate the rental will read this agreement first. It must identify the parties, the property, the dates, the rate, and the business purpose with enough specificity to satisfy a Tax Court judge that you actually had an arm's-length transaction. The single biggest reason corporate-rent deductions are disallowed in Sinopoli-style cases is that the rental agreement is missing altogether or is recycled boilerplate that doesn't match the meeting it purports to memorialize. Complete a fresh agreement for each event.</w:t>
            </w:r>
          </w:p>
        </w:tc>
      </w:tr>
    </w:tbl>
    <w:p>
      <w:pPr>
        <w:spacing w:after="160"/>
      </w:pPr>
      <w:r>
        <w:t xml:space="preserve"/>
      </w:r>
    </w:p>
    <w:p>
      <w:pPr>
        <w:spacing w:after="160" w:line="300"/>
      </w:pPr>
      <w:r>
        <w:rPr>
          <w:rFonts w:ascii="Calibri" w:cs="Calibri" w:eastAsia="Calibri" w:hAnsi="Calibri"/>
          <w:color w:val="212020"/>
          <w:sz w:val="22"/>
          <w:szCs w:val="22"/>
        </w:rPr>
        <w:t xml:space="preserve">This Short-Term Rental Agreement (this </w:t>
      </w:r>
      <w:r>
        <w:rPr>
          <w:rFonts w:ascii="Calibri" w:cs="Calibri" w:eastAsia="Calibri" w:hAnsi="Calibri"/>
          <w:b/>
          <w:bCs/>
          <w:color w:val="212020"/>
          <w:sz w:val="22"/>
          <w:szCs w:val="22"/>
        </w:rPr>
        <w:t xml:space="preserve">“Agreement”</w:t>
      </w:r>
      <w:r>
        <w:rPr>
          <w:rFonts w:ascii="Calibri" w:cs="Calibri" w:eastAsia="Calibri" w:hAnsi="Calibri"/>
          <w:color w:val="212020"/>
          <w:sz w:val="22"/>
          <w:szCs w:val="22"/>
        </w:rPr>
        <w:t xml:space="preserve">) is entered into as of the date last signed below (the </w:t>
      </w:r>
      <w:r>
        <w:rPr>
          <w:rFonts w:ascii="Calibri" w:cs="Calibri" w:eastAsia="Calibri" w:hAnsi="Calibri"/>
          <w:b/>
          <w:bCs/>
          <w:color w:val="212020"/>
          <w:sz w:val="22"/>
          <w:szCs w:val="22"/>
        </w:rPr>
        <w:t xml:space="preserve">“Effective Date”</w:t>
      </w:r>
      <w:r>
        <w:rPr>
          <w:rFonts w:ascii="Calibri" w:cs="Calibri" w:eastAsia="Calibri" w:hAnsi="Calibri"/>
          <w:color w:val="212020"/>
          <w:sz w:val="22"/>
          <w:szCs w:val="22"/>
        </w:rPr>
        <w:t xml:space="preserve">), by and between:</w:t>
      </w:r>
    </w:p>
    <w:p>
      <w:pPr>
        <w:spacing w:after="80" w:before="280"/>
      </w:pPr>
      <w:r>
        <w:rPr>
          <w:rFonts w:ascii="Calibri" w:cs="Calibri" w:eastAsia="Calibri" w:hAnsi="Calibri"/>
          <w:b/>
          <w:bCs/>
          <w:color w:val="2E407C"/>
          <w:sz w:val="24"/>
          <w:szCs w:val="24"/>
        </w:rPr>
        <w:t xml:space="preserve">Tenant — the Company</w:t>
      </w:r>
    </w:p>
    <w:p>
      <w:pPr>
        <w:spacing w:after="40" w:before="180"/>
      </w:pPr>
      <w:r>
        <w:rPr>
          <w:rFonts w:ascii="Calibri" w:cs="Calibri" w:eastAsia="Calibri" w:hAnsi="Calibri"/>
          <w:b/>
          <w:bCs/>
          <w:color w:val="0B1628"/>
          <w:sz w:val="20"/>
          <w:szCs w:val="20"/>
        </w:rPr>
        <w:t xml:space="preserve">Legal name of the S-corporation</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Exact name as registered with the Secretary of State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State of formation</w:t>
            </w:r>
          </w:p>
          <w:p>
            <w:pPr>
              <w:pBdr>
                <w:bottom w:val="single" w:color="212020" w:sz="6" w:space="4"/>
              </w:pBdr>
              <w:spacing w:after="30" w:before="180"/>
            </w:pPr>
            <w:r>
              <w:rPr>
                <w:rFonts w:ascii="Calibri" w:cs="Calibri" w:eastAsia="Calibri" w:hAnsi="Calibri"/>
                <w:sz w:val="22"/>
                <w:szCs w:val="22"/>
              </w:rPr>
              <w:t xml:space="preserve"> </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Federal EIN</w:t>
            </w:r>
          </w:p>
          <w:p>
            <w:pPr>
              <w:pBdr>
                <w:bottom w:val="single" w:color="212020" w:sz="6" w:space="4"/>
              </w:pBdr>
              <w:spacing w:after="30" w:before="180"/>
            </w:pPr>
            <w:r>
              <w:rPr>
                <w:rFonts w:ascii="Calibri" w:cs="Calibri" w:eastAsia="Calibri" w:hAnsi="Calibri"/>
                <w:sz w:val="22"/>
                <w:szCs w:val="22"/>
              </w:rPr>
              <w:t xml:space="preserve"> </w:t>
            </w:r>
          </w:p>
        </w:tc>
      </w:tr>
    </w:tbl>
    <w:p>
      <w:pPr>
        <w:spacing w:after="40" w:before="180"/>
      </w:pPr>
      <w:r>
        <w:rPr>
          <w:rFonts w:ascii="Calibri" w:cs="Calibri" w:eastAsia="Calibri" w:hAnsi="Calibri"/>
          <w:b/>
          <w:bCs/>
          <w:color w:val="0B1628"/>
          <w:sz w:val="20"/>
          <w:szCs w:val="20"/>
        </w:rPr>
        <w:t xml:space="preserve">Principal place of business</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Street, city, state, ZIP</w:t>
      </w:r>
    </w:p>
    <w:p>
      <w:pPr>
        <w:spacing w:after="80" w:before="280"/>
      </w:pPr>
      <w:r>
        <w:rPr>
          <w:rFonts w:ascii="Calibri" w:cs="Calibri" w:eastAsia="Calibri" w:hAnsi="Calibri"/>
          <w:b/>
          <w:bCs/>
          <w:color w:val="2E407C"/>
          <w:sz w:val="24"/>
          <w:szCs w:val="24"/>
        </w:rPr>
        <w:t xml:space="preserve">Landlord — the Homeowner</w:t>
      </w:r>
    </w:p>
    <w:p>
      <w:pPr>
        <w:spacing w:after="40" w:before="180"/>
      </w:pPr>
      <w:r>
        <w:rPr>
          <w:rFonts w:ascii="Calibri" w:cs="Calibri" w:eastAsia="Calibri" w:hAnsi="Calibri"/>
          <w:b/>
          <w:bCs/>
          <w:color w:val="0B1628"/>
          <w:sz w:val="20"/>
          <w:szCs w:val="20"/>
        </w:rPr>
        <w:t xml:space="preserve">Full legal name of the homeowner</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Mailing address</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Street, city, state, ZIP</w:t>
      </w:r>
    </w:p>
    <w:p>
      <w:pPr>
        <w:spacing w:after="80" w:before="280"/>
      </w:pPr>
      <w:r>
        <w:rPr>
          <w:rFonts w:ascii="Calibri" w:cs="Calibri" w:eastAsia="Calibri" w:hAnsi="Calibri"/>
          <w:b/>
          <w:bCs/>
          <w:color w:val="2E407C"/>
          <w:sz w:val="24"/>
          <w:szCs w:val="24"/>
        </w:rPr>
        <w:t xml:space="preserve">Recitals</w:t>
      </w:r>
    </w:p>
    <w:p>
      <w:pPr>
        <w:spacing w:after="160" w:line="300"/>
      </w:pPr>
      <w:r>
        <w:rPr>
          <w:rFonts w:ascii="Calibri" w:cs="Calibri" w:eastAsia="Calibri" w:hAnsi="Calibri"/>
          <w:color w:val="212020"/>
          <w:sz w:val="22"/>
          <w:szCs w:val="22"/>
        </w:rPr>
        <w:t xml:space="preserve">The Tenant requires temporary use of a private residential location to conduct specific business activities on the date(s) set forth below. The Landlord owns and controls the residence described below and is willing to permit such use, for the consideration and on the terms stated in this Agreement.</w:t>
      </w:r>
    </w:p>
    <w:p>
      <w:pPr>
        <w:spacing w:after="80" w:before="240"/>
      </w:pPr>
      <w:r>
        <w:rPr>
          <w:rFonts w:ascii="Calibri" w:cs="Calibri" w:eastAsia="Calibri" w:hAnsi="Calibri"/>
          <w:b/>
          <w:bCs/>
          <w:color w:val="0B1628"/>
          <w:sz w:val="22"/>
          <w:szCs w:val="22"/>
        </w:rPr>
        <w:t xml:space="preserve">1.  Premises</w:t>
      </w:r>
    </w:p>
    <w:p>
      <w:pPr>
        <w:spacing w:after="120" w:before="0"/>
        <w:ind w:left="360"/>
      </w:pPr>
      <w:r>
        <w:rPr>
          <w:rFonts w:ascii="Calibri" w:cs="Calibri" w:eastAsia="Calibri" w:hAnsi="Calibri"/>
          <w:i/>
          <w:iCs/>
          <w:color w:val="B5B3B5"/>
          <w:sz w:val="18"/>
          <w:szCs w:val="18"/>
        </w:rPr>
        <w:t xml:space="preserve">Identify the property and the specific portion of it being rented. The 'rented portion' should be where the meeting actually occurs, not the entire residence.</w:t>
      </w:r>
    </w:p>
    <w:p>
      <w:pPr>
        <w:spacing w:after="40" w:before="180"/>
      </w:pPr>
      <w:r>
        <w:rPr>
          <w:rFonts w:ascii="Calibri" w:cs="Calibri" w:eastAsia="Calibri" w:hAnsi="Calibri"/>
          <w:b/>
          <w:bCs/>
          <w:color w:val="0B1628"/>
          <w:sz w:val="20"/>
          <w:szCs w:val="20"/>
        </w:rPr>
        <w:t xml:space="preserve">Property address</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Street, city, state, ZIP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Approximate square footage of rented portion</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Sq. ft. of rented portion only</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Maximum attendee capacity</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Persons</w:t>
            </w:r>
          </w:p>
        </w:tc>
      </w:tr>
    </w:tbl>
    <w:p>
      <w:pPr>
        <w:spacing w:after="80" w:before="240"/>
      </w:pPr>
      <w:r>
        <w:rPr>
          <w:rFonts w:ascii="Calibri" w:cs="Calibri" w:eastAsia="Calibri" w:hAnsi="Calibri"/>
          <w:b/>
          <w:bCs/>
          <w:color w:val="0B1628"/>
          <w:sz w:val="22"/>
          <w:szCs w:val="22"/>
        </w:rPr>
        <w:t xml:space="preserve">2.  Term</w:t>
      </w:r>
    </w:p>
    <w:p>
      <w:pPr>
        <w:spacing w:after="120" w:before="0"/>
        <w:ind w:left="360"/>
      </w:pPr>
      <w:r>
        <w:rPr>
          <w:rFonts w:ascii="Calibri" w:cs="Calibri" w:eastAsia="Calibri" w:hAnsi="Calibri"/>
          <w:i/>
          <w:iCs/>
          <w:color w:val="B5B3B5"/>
          <w:sz w:val="18"/>
          <w:szCs w:val="18"/>
        </w:rPr>
        <w:t xml:space="preserve">One Agreement per rental event. Term is the specific date and clock hours of use, not a date range covering multiple events.</w:t>
      </w:r>
    </w:p>
    <w:p>
      <w:pPr>
        <w:spacing w:after="40" w:before="180"/>
      </w:pPr>
      <w:r>
        <w:rPr>
          <w:rFonts w:ascii="Calibri" w:cs="Calibri" w:eastAsia="Calibri" w:hAnsi="Calibri"/>
          <w:b/>
          <w:bCs/>
          <w:color w:val="0B1628"/>
          <w:sz w:val="20"/>
          <w:szCs w:val="20"/>
        </w:rPr>
        <w:t xml:space="preserve">Date of rental event</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Start time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e.g., 9:00 AM</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End time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e.g., 4:00 PM</w:t>
            </w:r>
          </w:p>
        </w:tc>
      </w:tr>
    </w:tbl>
    <w:p>
      <w:pPr>
        <w:spacing w:after="40" w:before="180"/>
      </w:pPr>
      <w:r>
        <w:rPr>
          <w:rFonts w:ascii="Calibri" w:cs="Calibri" w:eastAsia="Calibri" w:hAnsi="Calibri"/>
          <w:b/>
          <w:bCs/>
          <w:color w:val="0B1628"/>
          <w:sz w:val="20"/>
          <w:szCs w:val="20"/>
        </w:rPr>
        <w:t xml:space="preserve">Total hours of use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Calculated; should match the meeting agenda and minutes</w:t>
      </w:r>
    </w:p>
    <w:p>
      <w:pPr>
        <w:spacing w:after="80" w:before="240"/>
      </w:pPr>
      <w:r>
        <w:rPr>
          <w:rFonts w:ascii="Calibri" w:cs="Calibri" w:eastAsia="Calibri" w:hAnsi="Calibri"/>
          <w:b/>
          <w:bCs/>
          <w:color w:val="0B1628"/>
          <w:sz w:val="22"/>
          <w:szCs w:val="22"/>
        </w:rPr>
        <w:t xml:space="preserve">3.  Rent</w:t>
      </w:r>
    </w:p>
    <w:p>
      <w:pPr>
        <w:spacing w:after="120" w:before="0"/>
        <w:ind w:left="360"/>
      </w:pPr>
      <w:r>
        <w:rPr>
          <w:rFonts w:ascii="Calibri" w:cs="Calibri" w:eastAsia="Calibri" w:hAnsi="Calibri"/>
          <w:i/>
          <w:iCs/>
          <w:color w:val="B5B3B5"/>
          <w:sz w:val="18"/>
          <w:szCs w:val="18"/>
        </w:rPr>
        <w:t xml:space="preserve">The rate must be supported by the FMV Worksheet attached as Exhibit A. State the rate as a daily rate, not an annual or monthly rate.</w:t>
      </w:r>
    </w:p>
    <w:p>
      <w:pPr>
        <w:spacing w:after="40" w:before="180"/>
      </w:pPr>
      <w:r>
        <w:rPr>
          <w:rFonts w:ascii="Calibri" w:cs="Calibri" w:eastAsia="Calibri" w:hAnsi="Calibri"/>
          <w:b/>
          <w:bCs/>
          <w:color w:val="0B1628"/>
          <w:sz w:val="20"/>
          <w:szCs w:val="20"/>
        </w:rPr>
        <w:t xml:space="preserve">Daily rate (USD)</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Whole or hundredths</w:t>
      </w:r>
    </w:p>
    <w:p>
      <w:pPr>
        <w:spacing w:after="40" w:before="180"/>
      </w:pPr>
      <w:r>
        <w:rPr>
          <w:rFonts w:ascii="Calibri" w:cs="Calibri" w:eastAsia="Calibri" w:hAnsi="Calibri"/>
          <w:b/>
          <w:bCs/>
          <w:color w:val="0B1628"/>
          <w:sz w:val="20"/>
          <w:szCs w:val="20"/>
        </w:rPr>
        <w:t xml:space="preserve">Total rent due for this event (USD)</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Daily rate × number of days; same as Total Due on the invoice</w:t>
      </w:r>
    </w:p>
    <w:p>
      <w:pPr>
        <w:spacing w:after="40" w:before="180"/>
      </w:pPr>
      <w:r>
        <w:rPr>
          <w:rFonts w:ascii="Calibri" w:cs="Calibri" w:eastAsia="Calibri" w:hAnsi="Calibri"/>
          <w:b/>
          <w:bCs/>
          <w:color w:val="0B1628"/>
          <w:sz w:val="20"/>
          <w:szCs w:val="20"/>
        </w:rPr>
        <w:t xml:space="preserve">Payment due no later than</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Recommended: within 10 business days of the event</w:t>
      </w:r>
    </w:p>
    <w:p>
      <w:pPr>
        <w:spacing w:after="80" w:before="240"/>
      </w:pPr>
      <w:r>
        <w:rPr>
          <w:rFonts w:ascii="Calibri" w:cs="Calibri" w:eastAsia="Calibri" w:hAnsi="Calibri"/>
          <w:b/>
          <w:bCs/>
          <w:color w:val="0B1628"/>
          <w:sz w:val="22"/>
          <w:szCs w:val="22"/>
        </w:rPr>
        <w:t xml:space="preserve">4.  Business Purpose</w:t>
      </w:r>
    </w:p>
    <w:p>
      <w:pPr>
        <w:spacing w:after="120" w:before="0"/>
        <w:ind w:left="360"/>
      </w:pPr>
      <w:r>
        <w:rPr>
          <w:rFonts w:ascii="Calibri" w:cs="Calibri" w:eastAsia="Calibri" w:hAnsi="Calibri"/>
          <w:i/>
          <w:iCs/>
          <w:color w:val="B5B3B5"/>
          <w:sz w:val="18"/>
          <w:szCs w:val="18"/>
        </w:rPr>
        <w:t xml:space="preserve">Be specific. Generic language like 'company meeting' is the leading reason rates are reduced or disallowed. Reference the agenda by date.</w:t>
      </w:r>
    </w:p>
    <w:p>
      <w:pPr>
        <w:spacing w:after="40" w:before="180"/>
      </w:pPr>
      <w:r>
        <w:rPr>
          <w:rFonts w:ascii="Calibri" w:cs="Calibri" w:eastAsia="Calibri" w:hAnsi="Calibri"/>
          <w:b/>
          <w:bCs/>
          <w:color w:val="0B1628"/>
          <w:sz w:val="20"/>
          <w:szCs w:val="20"/>
        </w:rPr>
        <w:t xml:space="preserve">Business purpose</w:t>
      </w:r>
    </w:p>
    <w:p>
      <w:pPr>
        <w:spacing w:after="80" w:before="0"/>
      </w:pPr>
      <w:r>
        <w:rPr>
          <w:rFonts w:ascii="Calibri" w:cs="Calibri" w:eastAsia="Calibri" w:hAnsi="Calibri"/>
          <w:i/>
          <w:iCs/>
          <w:color w:val="B5B3B5"/>
          <w:sz w:val="16"/>
          <w:szCs w:val="16"/>
        </w:rPr>
        <w:t xml:space="preserve">Describe the actual business conducted: strategic planning session, board meeting, shareholder annual meeting, off-site team workshop, etc.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400" w:hRule="atLeast"/>
        </w:trPr>
        <w:tc>
          <w:tcPr>
            <w:tcW w:type="dxa" w:w="9360"/>
            <w:tcBorders>
              <w:top w:val="single" w:color="B5B3B5" w:sz="4" w:space="1"/>
              <w:left w:val="single" w:color="B5B3B5" w:sz="4" w:space="1"/>
              <w:bottom w:val="single" w:color="B5B3B5" w:sz="4" w:space="1"/>
              <w:right w:val="single" w:color="B5B3B5" w:sz="4" w:space="1"/>
            </w:tcBorders>
            <w:tcMar>
              <w:top w:type="dxa" w:w="100"/>
              <w:left w:type="dxa" w:w="120"/>
              <w:bottom w:type="dxa" w:w="100"/>
              <w:right w:type="dxa" w:w="120"/>
            </w:tcMar>
          </w:tcPr>
          <w:p>
            <w:r>
              <w:t xml:space="preserve"> </w:t>
            </w:r>
          </w:p>
        </w:tc>
      </w:tr>
    </w:tbl>
    <w:p>
      <w:pPr>
        <w:spacing w:after="80" w:before="240"/>
      </w:pPr>
      <w:r>
        <w:rPr>
          <w:rFonts w:ascii="Calibri" w:cs="Calibri" w:eastAsia="Calibri" w:hAnsi="Calibri"/>
          <w:b/>
          <w:bCs/>
          <w:color w:val="0B1628"/>
          <w:sz w:val="22"/>
          <w:szCs w:val="22"/>
        </w:rPr>
        <w:t xml:space="preserve">5.  Fair Market Value Basis</w:t>
      </w:r>
    </w:p>
    <w:p>
      <w:pPr>
        <w:spacing w:after="160" w:line="300"/>
      </w:pPr>
      <w:r>
        <w:rPr>
          <w:rFonts w:ascii="Calibri" w:cs="Calibri" w:eastAsia="Calibri" w:hAnsi="Calibri"/>
          <w:color w:val="212020"/>
          <w:sz w:val="22"/>
          <w:szCs w:val="22"/>
        </w:rPr>
        <w:t xml:space="preserve">The rate set forth in Section 3 reflects fair market value as substantiated by the FMV Worksheet attached hereto as Exhibit A. The Worksheet documents three independent comparable rates for similar venues in the relevant market and is dated before the Effective Date of this Agreement.</w:t>
      </w:r>
    </w:p>
    <w:p>
      <w:pPr>
        <w:spacing w:after="80" w:before="240"/>
      </w:pPr>
      <w:r>
        <w:rPr>
          <w:rFonts w:ascii="Calibri" w:cs="Calibri" w:eastAsia="Calibri" w:hAnsi="Calibri"/>
          <w:b/>
          <w:bCs/>
          <w:color w:val="0B1628"/>
          <w:sz w:val="22"/>
          <w:szCs w:val="22"/>
        </w:rPr>
        <w:t xml:space="preserve">6.  Tax Characterization</w:t>
      </w:r>
    </w:p>
    <w:p>
      <w:pPr>
        <w:spacing w:after="160" w:line="300"/>
      </w:pPr>
      <w:r>
        <w:rPr>
          <w:rFonts w:ascii="Calibri" w:cs="Calibri" w:eastAsia="Calibri" w:hAnsi="Calibri"/>
          <w:color w:val="212020"/>
          <w:sz w:val="22"/>
          <w:szCs w:val="22"/>
        </w:rPr>
        <w:t xml:space="preserve">The parties intend that the rental of the Premises qualify for the exclusion under Internal Revenue Code Section 280A(g) for the Landlord, and that the rent paid by the Tenant constitute an ordinary and necessary business expense deductible under Internal Revenue Code Section 162. Each party will file its own tax returns consistent with this characterization. Neither party guarantees any tax outcome, and each has had the opportunity to consult independent tax counsel.</w:t>
      </w:r>
    </w:p>
    <w:p>
      <w:pPr>
        <w:spacing w:after="80" w:before="240"/>
      </w:pPr>
      <w:r>
        <w:rPr>
          <w:rFonts w:ascii="Calibri" w:cs="Calibri" w:eastAsia="Calibri" w:hAnsi="Calibri"/>
          <w:b/>
          <w:bCs/>
          <w:color w:val="0B1628"/>
          <w:sz w:val="22"/>
          <w:szCs w:val="22"/>
        </w:rPr>
        <w:t xml:space="preserve">7.  Insurance and Indemnity</w:t>
      </w:r>
    </w:p>
    <w:p>
      <w:pPr>
        <w:spacing w:after="160" w:line="300"/>
      </w:pPr>
      <w:r>
        <w:rPr>
          <w:rFonts w:ascii="Calibri" w:cs="Calibri" w:eastAsia="Calibri" w:hAnsi="Calibri"/>
          <w:color w:val="212020"/>
          <w:sz w:val="22"/>
          <w:szCs w:val="22"/>
        </w:rPr>
        <w:t xml:space="preserve">The Landlord represents that the Premises are covered by an in-force homeowner's insurance policy. The Tenant will indemnify and hold harmless the Landlord against claims arising from the Tenant's use of the Premises during the Term, except to the extent caused by the Landlord's gross negligence or willful misconduct.</w:t>
      </w:r>
    </w:p>
    <w:p>
      <w:pPr>
        <w:spacing w:after="80" w:before="240"/>
      </w:pPr>
      <w:r>
        <w:rPr>
          <w:rFonts w:ascii="Calibri" w:cs="Calibri" w:eastAsia="Calibri" w:hAnsi="Calibri"/>
          <w:b/>
          <w:bCs/>
          <w:color w:val="0B1628"/>
          <w:sz w:val="22"/>
          <w:szCs w:val="22"/>
        </w:rPr>
        <w:t xml:space="preserve">8.  Condition of Premises</w:t>
      </w:r>
    </w:p>
    <w:p>
      <w:pPr>
        <w:spacing w:after="160" w:line="300"/>
      </w:pPr>
      <w:r>
        <w:rPr>
          <w:rFonts w:ascii="Calibri" w:cs="Calibri" w:eastAsia="Calibri" w:hAnsi="Calibri"/>
          <w:color w:val="212020"/>
          <w:sz w:val="22"/>
          <w:szCs w:val="22"/>
        </w:rPr>
        <w:t xml:space="preserve">The Tenant accepts the Premises in their current condition and will return them in the same condition, ordinary wear excepted. The Tenant is responsible for any damage caused during the Term by the Tenant, its employees, or its invitees.</w:t>
      </w:r>
    </w:p>
    <w:p>
      <w:pPr>
        <w:spacing w:after="80" w:before="240"/>
      </w:pPr>
      <w:r>
        <w:rPr>
          <w:rFonts w:ascii="Calibri" w:cs="Calibri" w:eastAsia="Calibri" w:hAnsi="Calibri"/>
          <w:b/>
          <w:bCs/>
          <w:color w:val="0B1628"/>
          <w:sz w:val="22"/>
          <w:szCs w:val="22"/>
        </w:rPr>
        <w:t xml:space="preserve">9.  Independent Relationship</w:t>
      </w:r>
    </w:p>
    <w:p>
      <w:pPr>
        <w:spacing w:after="160" w:line="300"/>
      </w:pPr>
      <w:r>
        <w:rPr>
          <w:rFonts w:ascii="Calibri" w:cs="Calibri" w:eastAsia="Calibri" w:hAnsi="Calibri"/>
          <w:color w:val="212020"/>
          <w:sz w:val="22"/>
          <w:szCs w:val="22"/>
        </w:rPr>
        <w:t xml:space="preserve">Nothing in this Agreement creates an employment relationship, partnership, joint venture, or agency between the parties. The Landlord acts solely as an arm's-length lessor and not in the Landlord's capacity as an officer, director, employee, or shareholder of the Tenant.</w:t>
      </w:r>
    </w:p>
    <w:p>
      <w:pPr>
        <w:spacing w:after="80" w:before="240"/>
      </w:pPr>
      <w:r>
        <w:rPr>
          <w:rFonts w:ascii="Calibri" w:cs="Calibri" w:eastAsia="Calibri" w:hAnsi="Calibri"/>
          <w:b/>
          <w:bCs/>
          <w:color w:val="0B1628"/>
          <w:sz w:val="22"/>
          <w:szCs w:val="22"/>
        </w:rPr>
        <w:t xml:space="preserve">10.  Governing Law and Entire Agreement</w:t>
      </w:r>
    </w:p>
    <w:p>
      <w:pPr>
        <w:spacing w:after="40" w:before="180"/>
      </w:pPr>
      <w:r>
        <w:rPr>
          <w:rFonts w:ascii="Calibri" w:cs="Calibri" w:eastAsia="Calibri" w:hAnsi="Calibri"/>
          <w:b/>
          <w:bCs/>
          <w:color w:val="0B1628"/>
          <w:sz w:val="20"/>
          <w:szCs w:val="20"/>
        </w:rPr>
        <w:t xml:space="preserve">Governing law (state)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Typically the state where the Premises are located</w:t>
      </w:r>
    </w:p>
    <w:p>
      <w:pPr>
        <w:spacing w:after="160" w:line="300"/>
      </w:pPr>
      <w:r>
        <w:rPr>
          <w:rFonts w:ascii="Calibri" w:cs="Calibri" w:eastAsia="Calibri" w:hAnsi="Calibri"/>
          <w:color w:val="212020"/>
          <w:sz w:val="22"/>
          <w:szCs w:val="22"/>
        </w:rPr>
        <w:t xml:space="preserve">This Agreement is governed by the law of the state identified above. This Agreement constitutes the entire agreement between the parties on its subject matter and supersedes any prior or contemporaneous discussions or writings.</w:t>
      </w:r>
    </w:p>
    <w:p>
      <w:pPr>
        <w:spacing w:after="80" w:before="280"/>
      </w:pPr>
      <w:r>
        <w:rPr>
          <w:rFonts w:ascii="Calibri" w:cs="Calibri" w:eastAsia="Calibri" w:hAnsi="Calibri"/>
          <w:b/>
          <w:bCs/>
          <w:color w:val="2E407C"/>
          <w:sz w:val="24"/>
          <w:szCs w:val="24"/>
        </w:rPr>
        <w:t xml:space="preserve">Signatures</w:t>
      </w:r>
    </w:p>
    <w:p>
      <w:pPr>
        <w:spacing w:after="160" w:line="300"/>
      </w:pPr>
      <w:r>
        <w:rPr>
          <w:rFonts w:ascii="Calibri" w:cs="Calibri" w:eastAsia="Calibri" w:hAnsi="Calibri"/>
          <w:color w:val="212020"/>
          <w:sz w:val="22"/>
          <w:szCs w:val="22"/>
        </w:rPr>
        <w:t xml:space="preserve">The parties have executed this Agreement as of the dates indicated below. The Effective Date is the later of the two signature dates.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40"/>
            </w:pPr>
            <w:r>
              <w:rPr>
                <w:rFonts w:ascii="Calibri" w:cs="Calibri" w:eastAsia="Calibri" w:hAnsi="Calibri"/>
                <w:b/>
                <w:bCs/>
                <w:color w:val="C4AA72"/>
                <w:spacing w:val="20"/>
                <w:sz w:val="18"/>
                <w:szCs w:val="18"/>
              </w:rPr>
              <w:t xml:space="preserve">TENANT</w:t>
            </w:r>
          </w:p>
          <w:p>
            <w:pPr>
              <w:spacing w:after="40"/>
            </w:pPr>
            <w:r>
              <w:rPr>
                <w:rFonts w:ascii="Calibri" w:cs="Calibri" w:eastAsia="Calibri" w:hAnsi="Calibri"/>
                <w:b/>
                <w:bCs/>
                <w:color w:val="0B1628"/>
                <w:sz w:val="22"/>
                <w:szCs w:val="22"/>
              </w:rPr>
              <w:t xml:space="preserve">By: officer of the S-corporation</w:t>
            </w:r>
          </w:p>
          <w:p>
            <w:pPr>
              <w:spacing w:after="40" w:before="180"/>
            </w:pPr>
            <w:r>
              <w:rPr>
                <w:rFonts w:ascii="Calibri" w:cs="Calibri" w:eastAsia="Calibri" w:hAnsi="Calibri"/>
                <w:b/>
                <w:bCs/>
                <w:color w:val="0B1628"/>
                <w:sz w:val="20"/>
                <w:szCs w:val="20"/>
              </w:rPr>
              <w:t xml:space="preserve">Signature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Printed name and title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Date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tc>
        <w:tc>
          <w:tcPr>
            <w:tcW w:type="dxa" w:w="460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40"/>
            </w:pPr>
            <w:r>
              <w:rPr>
                <w:rFonts w:ascii="Calibri" w:cs="Calibri" w:eastAsia="Calibri" w:hAnsi="Calibri"/>
                <w:b/>
                <w:bCs/>
                <w:color w:val="C4AA72"/>
                <w:spacing w:val="20"/>
                <w:sz w:val="18"/>
                <w:szCs w:val="18"/>
              </w:rPr>
              <w:t xml:space="preserve">LANDLORD</w:t>
            </w:r>
          </w:p>
          <w:p>
            <w:pPr>
              <w:spacing w:after="40"/>
            </w:pPr>
            <w:r>
              <w:rPr>
                <w:rFonts w:ascii="Calibri" w:cs="Calibri" w:eastAsia="Calibri" w:hAnsi="Calibri"/>
                <w:b/>
                <w:bCs/>
                <w:color w:val="0B1628"/>
                <w:sz w:val="22"/>
                <w:szCs w:val="22"/>
              </w:rPr>
              <w:t xml:space="preserve">Homeowner, individually</w:t>
            </w:r>
          </w:p>
          <w:p>
            <w:pPr>
              <w:spacing w:after="40" w:before="180"/>
            </w:pPr>
            <w:r>
              <w:rPr>
                <w:rFonts w:ascii="Calibri" w:cs="Calibri" w:eastAsia="Calibri" w:hAnsi="Calibri"/>
                <w:b/>
                <w:bCs/>
                <w:color w:val="0B1628"/>
                <w:sz w:val="20"/>
                <w:szCs w:val="20"/>
              </w:rPr>
              <w:t xml:space="preserve">Signature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Printed name and title</w:t>
            </w:r>
          </w:p>
          <w:p>
            <w:pPr>
              <w:pBdr>
                <w:bottom w:val="single" w:color="212020" w:sz="6" w:space="4"/>
              </w:pBdr>
              <w:spacing w:after="30" w:before="180"/>
            </w:pPr>
            <w:r>
              <w:rPr>
                <w:rFonts w:ascii="Calibri" w:cs="Calibri" w:eastAsia="Calibri" w:hAnsi="Calibri"/>
                <w:sz w:val="22"/>
                <w:szCs w:val="22"/>
              </w:rPr>
              <w:t xml:space="preserve"> </w:t>
            </w:r>
          </w:p>
          <w:p>
            <w:pPr>
              <w:spacing w:after="40" w:before="180"/>
            </w:pPr>
            <w:r>
              <w:rPr>
                <w:rFonts w:ascii="Calibri" w:cs="Calibri" w:eastAsia="Calibri" w:hAnsi="Calibri"/>
                <w:b/>
                <w:bCs/>
                <w:color w:val="0B1628"/>
                <w:sz w:val="20"/>
                <w:szCs w:val="20"/>
              </w:rPr>
              <w:t xml:space="preserve">Date</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tc>
      </w:tr>
    </w:tbl>
    <w:p>
      <w:pPr>
        <w:spacing w:after="360"/>
      </w:pPr>
      <w:r>
        <w:t xml:space="preserve"/>
      </w:r>
    </w:p>
    <w:p>
      <w:pPr>
        <w:spacing w:after="160" w:line="300"/>
      </w:pPr>
      <w:r>
        <w:rPr>
          <w:rFonts w:ascii="Calibri" w:cs="Calibri" w:eastAsia="Calibri" w:hAnsi="Calibri"/>
          <w:b/>
          <w:bCs/>
          <w:color w:val="0B1628"/>
          <w:sz w:val="22"/>
          <w:szCs w:val="22"/>
        </w:rPr>
        <w:t xml:space="preserve">Exhibit A: </w:t>
      </w:r>
      <w:r>
        <w:rPr>
          <w:rFonts w:ascii="Calibri" w:cs="Calibri" w:eastAsia="Calibri" w:hAnsi="Calibri"/>
          <w:color w:val="212020"/>
          <w:sz w:val="22"/>
          <w:szCs w:val="22"/>
        </w:rPr>
        <w:t xml:space="preserve">Fair Market Value Worksheet (attached and incorporated by reference)</w:t>
      </w:r>
    </w:p>
    <w:p>
      <w:pPr>
        <w:spacing w:after="0" w:before="480"/>
        <w:jc w:val="center"/>
      </w:pPr>
      <w:r>
        <w:rPr>
          <w:rFonts w:ascii="Calibri" w:cs="Calibri" w:eastAsia="Calibri" w:hAnsi="Calibri"/>
          <w:i/>
          <w:iCs/>
          <w:color w:val="B5B3B5"/>
          <w:sz w:val="16"/>
          <w:szCs w:val="16"/>
        </w:rPr>
        <w:t xml:space="preserve">Part of the Beaconshire Augusta Rule (IRC §280A(g)) S-Corp Compliance Package. Retain the completed original in the audit file.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8DCC0" w:sz="4" w:space="6"/>
      </w:pBdr>
      <w:tabs>
        <w:tab w:val="right" w:pos="9360"/>
      </w:tabs>
      <w:spacing w:before="80"/>
    </w:pPr>
    <w:r>
      <w:rPr>
        <w:rFonts w:ascii="Calibri" w:cs="Calibri" w:eastAsia="Calibri" w:hAnsi="Calibri"/>
        <w:color w:val="B5B3B5"/>
        <w:sz w:val="16"/>
        <w:szCs w:val="16"/>
      </w:rPr>
      <w:t xml:space="preserve">Short-Term Rental Agreement</w:t>
    </w:r>
    <w:r>
      <w:t xml:space="preserve">	</w:t>
    </w:r>
    <w:r>
      <w:rPr>
        <w:rFonts w:ascii="Calibri" w:cs="Calibri" w:eastAsia="Calibri" w:hAnsi="Calibri"/>
        <w:color w:val="B5B3B5"/>
        <w:sz w:val="16"/>
        <w:szCs w:val="16"/>
      </w:rPr>
      <w:t xml:space="preserve">Page </w:t>
    </w:r>
    <w:r>
      <w:rPr>
        <w:rFonts w:ascii="Calibri" w:cs="Calibri" w:eastAsia="Calibri" w:hAnsi="Calibri"/>
        <w:color w:val="B5B3B5"/>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DCC0" w:sz="4" w:space="6"/>
      </w:pBdr>
      <w:tabs>
        <w:tab w:val="right" w:pos="9360"/>
      </w:tabs>
      <w:spacing w:after="60"/>
    </w:pPr>
    <w:r>
      <w:rPr>
        <w:rFonts w:ascii="Calibri" w:cs="Calibri" w:eastAsia="Calibri" w:hAnsi="Calibri"/>
        <w:b/>
        <w:bCs/>
        <w:color w:val="C4AA72"/>
        <w:sz w:val="17"/>
        <w:szCs w:val="17"/>
      </w:rPr>
      <w:t xml:space="preserve">BEACONSHIRE ADVISORY</w:t>
    </w:r>
    <w:r>
      <w:t xml:space="preserve">	</w:t>
    </w:r>
    <w:r>
      <w:rPr>
        <w:rFonts w:ascii="Calibri" w:cs="Calibri" w:eastAsia="Calibri" w:hAnsi="Calibri"/>
        <w:color w:val="B5B3B5"/>
        <w:sz w:val="17"/>
        <w:szCs w:val="17"/>
      </w:rPr>
      <w:t xml:space="preserve">RENTAL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Short-Term Rental Agreement</dc:title>
  <dc:creator>Beaconshire Advisory LLC</dc:creator>
  <dc:description>Augusta Rule (IRC §280A(g)) S-Corp Compliance Package</dc:description>
  <cp:lastModifiedBy>Un-named</cp:lastModifiedBy>
  <cp:revision>1</cp:revision>
  <dcterms:created xsi:type="dcterms:W3CDTF">2026-04-27T19:58:44.233Z</dcterms:created>
  <dcterms:modified xsi:type="dcterms:W3CDTF">2026-04-27T19:58:44.234Z</dcterms:modified>
</cp:coreProperties>
</file>

<file path=docProps/custom.xml><?xml version="1.0" encoding="utf-8"?>
<Properties xmlns="http://schemas.openxmlformats.org/officeDocument/2006/custom-properties" xmlns:vt="http://schemas.openxmlformats.org/officeDocument/2006/docPropsVTypes"/>
</file>